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1"/>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#120</w:t>
      </w:r>
      <w:r>
        <w:rPr>
          <w:b/>
          <w:i/>
          <w:sz w:val="28"/>
        </w:rPr>
        <w:tab/>
      </w:r>
      <w:r>
        <w:rPr>
          <w:rFonts w:eastAsia="MS Mincho" w:cs="Arial"/>
          <w:b/>
          <w:sz w:val="22"/>
          <w:szCs w:val="22"/>
          <w:lang w:val="en-US"/>
        </w:rPr>
        <w:t>R2-22</w:t>
      </w:r>
      <w:r>
        <w:rPr>
          <w:rFonts w:eastAsia="MS Mincho" w:cs="Arial"/>
          <w:b/>
          <w:sz w:val="22"/>
          <w:szCs w:val="22"/>
          <w:lang w:val="en-US" w:eastAsia="zh-CN"/>
        </w:rPr>
        <w:t>11678</w:t>
      </w:r>
    </w:p>
    <w:p>
      <w:pPr>
        <w:pStyle w:val="101"/>
        <w:tabs>
          <w:tab w:val="right" w:pos="9639"/>
        </w:tabs>
        <w:spacing w:after="0"/>
        <w:rPr>
          <w:b/>
          <w:sz w:val="22"/>
          <w:szCs w:val="22"/>
          <w:lang w:eastAsia="zh-CN"/>
        </w:rPr>
      </w:pPr>
      <w:r>
        <w:rPr>
          <w:b/>
          <w:sz w:val="22"/>
          <w:szCs w:val="22"/>
          <w:lang w:val="en-US" w:eastAsia="zh-CN"/>
        </w:rPr>
        <w:t xml:space="preserve">Toulouse, France, </w:t>
      </w:r>
      <w:r>
        <w:rPr>
          <w:rFonts w:hint="eastAsia"/>
          <w:b/>
          <w:sz w:val="22"/>
          <w:szCs w:val="22"/>
          <w:lang w:val="en-US" w:eastAsia="zh-CN"/>
        </w:rPr>
        <w:t>1</w:t>
      </w:r>
      <w:r>
        <w:rPr>
          <w:b/>
          <w:sz w:val="22"/>
          <w:szCs w:val="22"/>
          <w:lang w:val="en-US" w:eastAsia="zh-CN"/>
        </w:rPr>
        <w:t>4</w:t>
      </w:r>
      <w:r>
        <w:rPr>
          <w:b/>
          <w:sz w:val="22"/>
          <w:szCs w:val="22"/>
          <w:vertAlign w:val="superscript"/>
          <w:lang w:eastAsia="zh-CN"/>
        </w:rPr>
        <w:t>th</w:t>
      </w:r>
      <w:r>
        <w:rPr>
          <w:b/>
          <w:sz w:val="22"/>
          <w:szCs w:val="22"/>
          <w:lang w:eastAsia="zh-CN"/>
        </w:rPr>
        <w:t xml:space="preserve"> – 18</w:t>
      </w:r>
      <w:r>
        <w:rPr>
          <w:b/>
          <w:sz w:val="22"/>
          <w:szCs w:val="22"/>
          <w:vertAlign w:val="superscript"/>
          <w:lang w:eastAsia="zh-CN"/>
        </w:rPr>
        <w:t>th</w:t>
      </w:r>
      <w:r>
        <w:rPr>
          <w:b/>
          <w:sz w:val="22"/>
          <w:szCs w:val="22"/>
          <w:lang w:eastAsia="zh-CN"/>
        </w:rPr>
        <w:t xml:space="preserve"> Nov. 20</w:t>
      </w:r>
      <w:r>
        <w:rPr>
          <w:rFonts w:hint="eastAsia"/>
          <w:b/>
          <w:sz w:val="22"/>
          <w:szCs w:val="22"/>
          <w:lang w:eastAsia="zh-CN"/>
        </w:rPr>
        <w:t>2</w:t>
      </w:r>
      <w:r>
        <w:rPr>
          <w:b/>
          <w:sz w:val="22"/>
          <w:szCs w:val="22"/>
          <w:lang w:eastAsia="zh-CN"/>
        </w:rPr>
        <w:t>2</w:t>
      </w:r>
    </w:p>
    <w:p>
      <w:pPr>
        <w:pStyle w:val="35"/>
        <w:rPr>
          <w:rFonts w:eastAsia="宋体" w:cs="Arial"/>
          <w:bCs/>
          <w:sz w:val="22"/>
          <w:szCs w:val="22"/>
          <w:lang w:val="en-GB" w:eastAsia="zh-CN"/>
        </w:rPr>
      </w:pPr>
    </w:p>
    <w:p>
      <w:pPr>
        <w:pStyle w:val="35"/>
        <w:tabs>
          <w:tab w:val="left" w:pos="1800"/>
          <w:tab w:val="clear" w:pos="4536"/>
        </w:tabs>
        <w:spacing w:after="120"/>
        <w:ind w:left="1797" w:hanging="1797"/>
        <w:rPr>
          <w:rFonts w:eastAsia="宋体" w:cs="Arial"/>
          <w:sz w:val="22"/>
          <w:szCs w:val="22"/>
          <w:lang w:eastAsia="zh-CN"/>
        </w:rPr>
      </w:pPr>
      <w:r>
        <w:rPr>
          <w:rFonts w:cs="Arial"/>
          <w:sz w:val="22"/>
          <w:szCs w:val="22"/>
        </w:rPr>
        <w:t>Agenda Item</w:t>
      </w:r>
      <w:r>
        <w:rPr>
          <w:rFonts w:hint="eastAsia" w:cs="Arial"/>
          <w:sz w:val="22"/>
          <w:szCs w:val="22"/>
        </w:rPr>
        <w:t>:</w:t>
      </w:r>
      <w:r>
        <w:rPr>
          <w:rFonts w:cs="Arial"/>
          <w:sz w:val="22"/>
          <w:szCs w:val="22"/>
        </w:rPr>
        <w:tab/>
      </w:r>
      <w:r>
        <w:rPr>
          <w:rFonts w:hint="eastAsia" w:cs="Arial"/>
          <w:sz w:val="22"/>
          <w:szCs w:val="22"/>
        </w:rPr>
        <w:t>8</w:t>
      </w:r>
      <w:r>
        <w:rPr>
          <w:rFonts w:cs="Arial"/>
          <w:sz w:val="22"/>
          <w:szCs w:val="22"/>
        </w:rPr>
        <w:t>.9.4</w:t>
      </w:r>
    </w:p>
    <w:p>
      <w:pPr>
        <w:pStyle w:val="35"/>
        <w:tabs>
          <w:tab w:val="left" w:pos="1800"/>
          <w:tab w:val="clear" w:pos="4536"/>
        </w:tabs>
        <w:spacing w:after="120"/>
        <w:ind w:left="1797" w:hanging="1797"/>
        <w:rPr>
          <w:rFonts w:cs="Arial"/>
          <w:sz w:val="22"/>
          <w:szCs w:val="22"/>
        </w:rPr>
      </w:pPr>
      <w:r>
        <w:rPr>
          <w:rFonts w:cs="Arial"/>
          <w:sz w:val="22"/>
          <w:szCs w:val="22"/>
        </w:rPr>
        <w:t>Source</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vivo</w:t>
      </w:r>
    </w:p>
    <w:p>
      <w:pPr>
        <w:pStyle w:val="35"/>
        <w:tabs>
          <w:tab w:val="left" w:pos="1800"/>
          <w:tab w:val="clear" w:pos="4536"/>
        </w:tabs>
        <w:spacing w:after="120"/>
        <w:ind w:left="1797" w:hanging="1797"/>
        <w:rPr>
          <w:rFonts w:eastAsia="宋体" w:cs="Arial"/>
          <w:color w:val="FF0000"/>
          <w:sz w:val="22"/>
          <w:szCs w:val="22"/>
          <w:lang w:eastAsia="zh-CN"/>
        </w:rPr>
      </w:pPr>
      <w:r>
        <w:rPr>
          <w:rFonts w:cs="Arial"/>
          <w:sz w:val="22"/>
          <w:szCs w:val="22"/>
        </w:rPr>
        <w:t>Title</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 xml:space="preserve">Supporting Cases and </w:t>
      </w:r>
      <w:r>
        <w:rPr>
          <w:rFonts w:hint="eastAsia" w:eastAsia="宋体" w:cs="Arial"/>
          <w:sz w:val="22"/>
          <w:szCs w:val="22"/>
          <w:lang w:eastAsia="zh-CN"/>
        </w:rPr>
        <w:t>D</w:t>
      </w:r>
      <w:r>
        <w:rPr>
          <w:rFonts w:cs="Arial"/>
          <w:sz w:val="22"/>
          <w:szCs w:val="22"/>
        </w:rPr>
        <w:t xml:space="preserve">etailed </w:t>
      </w:r>
      <w:r>
        <w:rPr>
          <w:rFonts w:hint="eastAsia" w:eastAsia="宋体" w:cs="Arial"/>
          <w:sz w:val="22"/>
          <w:szCs w:val="22"/>
          <w:lang w:eastAsia="zh-CN"/>
        </w:rPr>
        <w:t>P</w:t>
      </w:r>
      <w:r>
        <w:rPr>
          <w:rFonts w:cs="Arial"/>
          <w:sz w:val="22"/>
          <w:szCs w:val="22"/>
        </w:rPr>
        <w:t>rocedures for Multi-path Scenario-1 and Scenario-2</w:t>
      </w:r>
    </w:p>
    <w:p>
      <w:pPr>
        <w:pStyle w:val="35"/>
        <w:tabs>
          <w:tab w:val="left" w:pos="1800"/>
          <w:tab w:val="clear" w:pos="4536"/>
        </w:tabs>
        <w:spacing w:after="120"/>
        <w:ind w:left="1797" w:hanging="1797"/>
        <w:rPr>
          <w:rFonts w:cs="Arial"/>
          <w:sz w:val="22"/>
          <w:szCs w:val="22"/>
        </w:rPr>
      </w:pPr>
      <w:r>
        <w:rPr>
          <w:rFonts w:cs="Arial"/>
          <w:sz w:val="22"/>
          <w:szCs w:val="22"/>
        </w:rPr>
        <w:t>Document for</w:t>
      </w:r>
      <w:r>
        <w:rPr>
          <w:rFonts w:hint="eastAsia" w:cs="Arial"/>
          <w:sz w:val="22"/>
          <w:szCs w:val="22"/>
        </w:rPr>
        <w:t>:</w:t>
      </w:r>
      <w:r>
        <w:rPr>
          <w:rFonts w:cs="Arial"/>
          <w:sz w:val="22"/>
          <w:szCs w:val="22"/>
        </w:rPr>
        <w:t xml:space="preserve"> </w:t>
      </w:r>
      <w:r>
        <w:rPr>
          <w:rFonts w:cs="Arial"/>
          <w:sz w:val="22"/>
          <w:szCs w:val="22"/>
        </w:rPr>
        <w:tab/>
      </w:r>
      <w:r>
        <w:rPr>
          <w:rFonts w:cs="Arial"/>
          <w:sz w:val="22"/>
          <w:szCs w:val="22"/>
        </w:rPr>
        <w:t xml:space="preserve">Discussion and Decision </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Pr>
          <w:rFonts w:hint="eastAsia" w:eastAsia="MS Mincho" w:cs="Times New Roman"/>
          <w:b w:val="0"/>
          <w:bCs w:val="0"/>
          <w:kern w:val="0"/>
          <w:sz w:val="36"/>
          <w:szCs w:val="20"/>
          <w:lang w:val="en-GB" w:eastAsia="ja-JP"/>
        </w:rPr>
        <w:t>Introduction</w:t>
      </w:r>
      <w:r>
        <w:rPr>
          <w:rFonts w:eastAsia="MS Mincho" w:cs="Times New Roman"/>
          <w:b w:val="0"/>
          <w:bCs w:val="0"/>
          <w:kern w:val="0"/>
          <w:sz w:val="36"/>
          <w:szCs w:val="20"/>
          <w:lang w:val="en-GB" w:eastAsia="ja-JP"/>
        </w:rPr>
        <w:t>:</w:t>
      </w:r>
    </w:p>
    <w:p>
      <w:pPr>
        <w:spacing w:before="120" w:beforeLines="50" w:after="120" w:line="260" w:lineRule="exact"/>
        <w:jc w:val="both"/>
        <w:rPr>
          <w:szCs w:val="20"/>
        </w:rPr>
      </w:pPr>
      <w:bookmarkStart w:id="2" w:name="_Hlk53665621"/>
      <w:r>
        <w:rPr>
          <w:rFonts w:eastAsia="Malgun Gothic"/>
          <w:szCs w:val="20"/>
          <w:lang w:eastAsia="zh-CN"/>
        </w:rPr>
        <w:t>At RAN2#1</w:t>
      </w:r>
      <w:r>
        <w:rPr>
          <w:rFonts w:hint="eastAsia" w:eastAsia="Malgun Gothic"/>
          <w:szCs w:val="20"/>
          <w:lang w:eastAsia="zh-CN"/>
        </w:rPr>
        <w:t>19bis</w:t>
      </w:r>
      <w:r>
        <w:rPr>
          <w:rFonts w:eastAsia="Malgun Gothic"/>
          <w:szCs w:val="20"/>
          <w:lang w:eastAsia="zh-CN"/>
        </w:rPr>
        <w:t xml:space="preserve">-e meeting, RAN2 has discussed and made lots of agreements on multi-path. </w:t>
      </w:r>
      <w:r>
        <w:rPr>
          <w:szCs w:val="20"/>
        </w:rPr>
        <w:t xml:space="preserve">In this contribution, we will further </w:t>
      </w:r>
      <w:bookmarkEnd w:id="2"/>
      <w:r>
        <w:rPr>
          <w:szCs w:val="20"/>
        </w:rPr>
        <w:t xml:space="preserve">discuss supporting cases and detailed procedures for </w:t>
      </w:r>
      <w:r>
        <w:rPr>
          <w:rFonts w:hint="eastAsia" w:eastAsia="宋体"/>
          <w:szCs w:val="20"/>
          <w:lang w:val="en-US" w:eastAsia="zh-CN"/>
        </w:rPr>
        <w:t>m</w:t>
      </w:r>
      <w:r>
        <w:rPr>
          <w:szCs w:val="20"/>
        </w:rPr>
        <w:t xml:space="preserve">ulti-path </w:t>
      </w:r>
      <w:r>
        <w:rPr>
          <w:rFonts w:hint="eastAsia" w:eastAsia="宋体"/>
          <w:szCs w:val="20"/>
          <w:lang w:val="en-US" w:eastAsia="zh-CN"/>
        </w:rPr>
        <w:t>S</w:t>
      </w:r>
      <w:r>
        <w:rPr>
          <w:szCs w:val="20"/>
        </w:rPr>
        <w:t xml:space="preserve">cenario-1 and </w:t>
      </w:r>
      <w:r>
        <w:rPr>
          <w:rFonts w:hint="eastAsia" w:eastAsia="宋体"/>
          <w:szCs w:val="20"/>
          <w:lang w:val="en-US" w:eastAsia="zh-CN"/>
        </w:rPr>
        <w:t>S</w:t>
      </w:r>
      <w:r>
        <w:rPr>
          <w:szCs w:val="20"/>
        </w:rPr>
        <w:t>cenario-2.</w:t>
      </w: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Discussion</w:t>
      </w:r>
    </w:p>
    <w:p>
      <w:pPr>
        <w:keepNext/>
        <w:widowControl w:val="0"/>
        <w:numPr>
          <w:ilvl w:val="1"/>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Supporting cases</w:t>
      </w:r>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Scenario-1</w:t>
      </w:r>
      <w:r>
        <w:rPr>
          <w:rFonts w:hint="eastAsia" w:ascii="Arial" w:hAnsi="Arial" w:eastAsia="等线" w:cs="Arial"/>
          <w:iCs/>
          <w:sz w:val="32"/>
          <w:szCs w:val="32"/>
          <w:lang w:eastAsia="zh-CN"/>
        </w:rPr>
        <w:t xml:space="preserve"> </w:t>
      </w:r>
    </w:p>
    <w:p>
      <w:pPr>
        <w:spacing w:before="120" w:beforeLines="50"/>
        <w:jc w:val="both"/>
      </w:pPr>
      <w:r>
        <w:rPr>
          <w:szCs w:val="20"/>
        </w:rPr>
        <w:t xml:space="preserve">RAN2 had agreed that basic addition and release case A-D </w:t>
      </w:r>
      <w:r>
        <w:t xml:space="preserve">are to be supported for Scenario-1. And for the following case G, there is still an FFS issue:  </w:t>
      </w:r>
    </w:p>
    <w:p>
      <w:pPr>
        <w:spacing w:before="120" w:beforeLines="50"/>
        <w:rPr>
          <w:i/>
          <w:szCs w:val="20"/>
          <w:lang w:val="en-GB"/>
        </w:rPr>
      </w:pPr>
      <w:r>
        <w:rPr>
          <w:i/>
        </w:rPr>
        <w:t>G.</w:t>
      </w:r>
      <w:r>
        <w:rPr>
          <w:i/>
        </w:rPr>
        <w:tab/>
      </w:r>
      <w:r>
        <w:rPr>
          <w:i/>
        </w:rPr>
        <w:t xml:space="preserve">The remote UE operating in multi-path changes to a new relay UE for the indirect path while keeping the direct path under the same gNB. </w:t>
      </w:r>
      <w:r>
        <w:rPr>
          <w:i/>
          <w:color w:val="FF0000"/>
        </w:rPr>
        <w:t xml:space="preserve"> FFS if this case would be supported via separate release-and-add (A+C in separate reconfigurations) or a single switch procedure (e.g. similar to i2i service continuity)</w:t>
      </w:r>
    </w:p>
    <w:p>
      <w:pPr>
        <w:spacing w:before="120" w:beforeLines="50"/>
        <w:jc w:val="both"/>
        <w:rPr>
          <w:szCs w:val="20"/>
        </w:rPr>
      </w:pPr>
      <w:r>
        <w:rPr>
          <w:rFonts w:hint="eastAsia"/>
          <w:szCs w:val="20"/>
        </w:rPr>
        <w:t>I</w:t>
      </w:r>
      <w:r>
        <w:rPr>
          <w:szCs w:val="20"/>
        </w:rPr>
        <w:t xml:space="preserve">n our understanding, it is surely feasible that the remote UE operation in multi-path firstly releases its old indirect path (i.e. case C) and then adds a new indirect path under the same gNB (i.e. case A) via two separate reconfiguration procedures. However, compared to a single switch procedure, two separate reconfigurations will need more signaling latency &amp; overheads and have worse user experience. From the perspective of service continuity, these two methods will have similar performance since all of RLC buffers are flushed, state of RLC entity is (re)set to the initial values and PDCP data recovery may be triggered upon switch or release message.  Furthermore, i2i handover procedure is been discussed in parallel. We can wait for that progress and reuse it as much as possible. </w:t>
      </w:r>
    </w:p>
    <w:p>
      <w:pPr>
        <w:spacing w:before="120" w:beforeLines="50"/>
        <w:jc w:val="both"/>
        <w:rPr>
          <w:szCs w:val="20"/>
        </w:rPr>
      </w:pPr>
      <w:r>
        <w:rPr>
          <w:rFonts w:hint="eastAsia"/>
          <w:szCs w:val="20"/>
        </w:rPr>
        <w:t>H</w:t>
      </w:r>
      <w:r>
        <w:rPr>
          <w:szCs w:val="20"/>
        </w:rPr>
        <w:t>ence, we propose:</w:t>
      </w:r>
    </w:p>
    <w:p>
      <w:pPr>
        <w:pStyle w:val="98"/>
        <w:numPr>
          <w:ilvl w:val="0"/>
          <w:numId w:val="7"/>
        </w:numPr>
        <w:tabs>
          <w:tab w:val="left" w:pos="2024"/>
          <w:tab w:val="clear" w:pos="1304"/>
        </w:tabs>
        <w:spacing w:before="120" w:beforeLines="50"/>
        <w:ind w:left="1701" w:hanging="1701"/>
        <w:rPr>
          <w:rFonts w:ascii="Times New Roman" w:hAnsi="Times New Roman" w:eastAsia="宋体"/>
        </w:rPr>
      </w:pPr>
      <w:r>
        <w:rPr>
          <w:rFonts w:ascii="Times New Roman" w:hAnsi="Times New Roman" w:eastAsia="宋体"/>
        </w:rPr>
        <w:t xml:space="preserve">For Scenario-1, Case G is supported via separate release-and-add (A+C in separate reconfigurations) as baseline in Rel-18. Whether/how to support via a single switch procedure (e.g. similar to </w:t>
      </w:r>
      <w:bookmarkStart w:id="3" w:name="OLE_LINK4"/>
      <w:r>
        <w:rPr>
          <w:rFonts w:ascii="Times New Roman" w:hAnsi="Times New Roman" w:eastAsia="宋体"/>
        </w:rPr>
        <w:t>i2i service continuity</w:t>
      </w:r>
      <w:bookmarkEnd w:id="3"/>
      <w:r>
        <w:rPr>
          <w:rFonts w:ascii="Times New Roman" w:hAnsi="Times New Roman" w:eastAsia="宋体"/>
        </w:rPr>
        <w:t>) is left to the WI phase.</w:t>
      </w:r>
    </w:p>
    <w:p>
      <w:pPr>
        <w:spacing w:before="120" w:beforeLines="50"/>
        <w:jc w:val="both"/>
        <w:rPr>
          <w:szCs w:val="20"/>
        </w:rPr>
      </w:pPr>
      <w:r>
        <w:rPr>
          <w:rFonts w:hint="eastAsia"/>
          <w:szCs w:val="20"/>
        </w:rPr>
        <w:t>F</w:t>
      </w:r>
      <w:r>
        <w:rPr>
          <w:szCs w:val="20"/>
        </w:rPr>
        <w:t>or the following case E, there is also a similar FFS issue:</w:t>
      </w:r>
    </w:p>
    <w:p>
      <w:pPr>
        <w:spacing w:before="120" w:beforeLines="50"/>
        <w:jc w:val="both"/>
        <w:rPr>
          <w:i/>
        </w:rPr>
      </w:pPr>
      <w:r>
        <w:rPr>
          <w:i/>
        </w:rPr>
        <w:t>The following case can be supported via separate release-and-add for scenario 1 (B+D in separate reconfigurations):</w:t>
      </w:r>
    </w:p>
    <w:p>
      <w:pPr>
        <w:jc w:val="both"/>
        <w:rPr>
          <w:i/>
        </w:rPr>
      </w:pPr>
      <w:r>
        <w:rPr>
          <w:i/>
        </w:rPr>
        <w:t>E.</w:t>
      </w:r>
      <w:r>
        <w:rPr>
          <w:i/>
        </w:rPr>
        <w:tab/>
      </w:r>
      <w:r>
        <w:rPr>
          <w:i/>
        </w:rPr>
        <w:t>The remote UE operating in multi-path changes the direct path to a different cell of the same gNB while using the serving relay UE for the indirect path under the same gNB.</w:t>
      </w:r>
    </w:p>
    <w:p>
      <w:pPr>
        <w:jc w:val="both"/>
        <w:rPr>
          <w:i/>
          <w:color w:val="FF0000"/>
        </w:rPr>
      </w:pPr>
      <w:r>
        <w:rPr>
          <w:i/>
          <w:color w:val="FF0000"/>
        </w:rPr>
        <w:t>FFS if a single procedure for this case would be supported.</w:t>
      </w:r>
    </w:p>
    <w:p>
      <w:pPr>
        <w:spacing w:before="120" w:beforeLines="50"/>
        <w:jc w:val="both"/>
        <w:rPr>
          <w:rFonts w:eastAsiaTheme="minorEastAsia"/>
          <w:szCs w:val="20"/>
          <w:lang w:eastAsia="zh-CN"/>
        </w:rPr>
      </w:pPr>
      <w:r>
        <w:rPr>
          <w:rFonts w:hint="eastAsia" w:eastAsiaTheme="minorEastAsia"/>
          <w:szCs w:val="20"/>
          <w:lang w:eastAsia="zh-CN"/>
        </w:rPr>
        <w:t>B</w:t>
      </w:r>
      <w:r>
        <w:rPr>
          <w:rFonts w:eastAsiaTheme="minorEastAsia"/>
          <w:szCs w:val="20"/>
          <w:lang w:eastAsia="zh-CN"/>
        </w:rPr>
        <w:t>ased on similar reason as the above, two separate reconfiguration procedures will also need more signaling latency &amp; overheads and have worse user experience. However, when the single path or primary path of SRB1 is configured in indirect path, it is feasible that the remote UE operating in multi-path directly changes its direct path to a different cell of the same gNB while keeping the serving relay UE for indirect path under the same gNB. We can also wait for primary path modeling progress and conclusion.</w:t>
      </w:r>
    </w:p>
    <w:p>
      <w:pPr>
        <w:pStyle w:val="98"/>
        <w:numPr>
          <w:ilvl w:val="0"/>
          <w:numId w:val="7"/>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F</w:t>
      </w:r>
      <w:r>
        <w:rPr>
          <w:rFonts w:ascii="Times New Roman" w:hAnsi="Times New Roman" w:eastAsia="宋体"/>
        </w:rPr>
        <w:t xml:space="preserve">or </w:t>
      </w:r>
      <w:r>
        <w:rPr>
          <w:rFonts w:hint="eastAsia" w:ascii="Times New Roman" w:hAnsi="Times New Roman" w:eastAsia="宋体"/>
        </w:rPr>
        <w:t>S</w:t>
      </w:r>
      <w:r>
        <w:rPr>
          <w:rFonts w:ascii="Times New Roman" w:hAnsi="Times New Roman" w:eastAsia="宋体"/>
        </w:rPr>
        <w:t>cenario-1</w:t>
      </w:r>
      <w:r>
        <w:rPr>
          <w:rFonts w:hint="eastAsia" w:ascii="Times New Roman" w:hAnsi="Times New Roman" w:eastAsia="宋体"/>
        </w:rPr>
        <w:t>, Case E</w:t>
      </w:r>
      <w:r>
        <w:rPr>
          <w:rFonts w:ascii="Times New Roman" w:hAnsi="Times New Roman" w:eastAsia="宋体"/>
        </w:rPr>
        <w:t xml:space="preserve"> is</w:t>
      </w:r>
      <w:r>
        <w:rPr>
          <w:rFonts w:hint="eastAsia" w:ascii="Times New Roman" w:hAnsi="Times New Roman" w:eastAsia="宋体"/>
        </w:rPr>
        <w:t xml:space="preserve"> supported </w:t>
      </w:r>
      <w:r>
        <w:rPr>
          <w:rFonts w:ascii="Times New Roman" w:hAnsi="Times New Roman" w:eastAsia="宋体"/>
        </w:rPr>
        <w:t>via separate release-and-add (B+D in separate reconfigurations)</w:t>
      </w:r>
      <w:r>
        <w:rPr>
          <w:rFonts w:hint="eastAsia" w:ascii="Times New Roman" w:hAnsi="Times New Roman" w:eastAsia="宋体"/>
        </w:rPr>
        <w:t xml:space="preserve"> as baseline in Rel-18. Whether/how to support Case E via a single switch procedure</w:t>
      </w:r>
      <w:r>
        <w:rPr>
          <w:rFonts w:ascii="Times New Roman" w:hAnsi="Times New Roman" w:eastAsia="宋体"/>
        </w:rPr>
        <w:t xml:space="preserve"> </w:t>
      </w:r>
      <w:r>
        <w:rPr>
          <w:rFonts w:hint="eastAsia" w:ascii="Times New Roman" w:hAnsi="Times New Roman" w:eastAsia="宋体"/>
        </w:rPr>
        <w:t xml:space="preserve">is left to </w:t>
      </w:r>
      <w:r>
        <w:rPr>
          <w:rFonts w:ascii="Times New Roman" w:hAnsi="Times New Roman" w:eastAsia="宋体"/>
        </w:rPr>
        <w:t xml:space="preserve">the </w:t>
      </w:r>
      <w:r>
        <w:rPr>
          <w:rFonts w:hint="eastAsia" w:ascii="Times New Roman" w:hAnsi="Times New Roman" w:eastAsia="宋体"/>
        </w:rPr>
        <w:t>WI phase.</w:t>
      </w:r>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32"/>
          <w:szCs w:val="32"/>
          <w:lang w:eastAsia="zh-CN"/>
        </w:rPr>
        <w:t>Scenario-2</w:t>
      </w:r>
      <w:r>
        <w:rPr>
          <w:rFonts w:hint="eastAsia" w:ascii="Arial" w:hAnsi="Arial" w:eastAsia="等线" w:cs="Arial"/>
          <w:iCs/>
          <w:sz w:val="32"/>
          <w:szCs w:val="32"/>
          <w:lang w:eastAsia="zh-CN"/>
        </w:rPr>
        <w:t xml:space="preserve"> </w:t>
      </w:r>
    </w:p>
    <w:p>
      <w:pPr>
        <w:rPr>
          <w:b/>
          <w:szCs w:val="20"/>
        </w:rPr>
      </w:pPr>
      <w:r>
        <w:rPr>
          <w:szCs w:val="20"/>
        </w:rPr>
        <w:t>In the last RAN2#119bis e meeting, RAN2 had agreed that basic addition and release case A&amp;C, i.e. direct path as the basic, are</w:t>
      </w:r>
      <w:r>
        <w:t xml:space="preserve"> to be supported for Scenario-2. Case F are not supported, which is same as in Scenario-1, due to the group mobility scenario. The rest cases are left to FFS for Scenario-2 as followings:</w:t>
      </w:r>
    </w:p>
    <w:p>
      <w:pPr>
        <w:spacing w:before="120" w:beforeLines="50"/>
        <w:jc w:val="both"/>
        <w:rPr>
          <w:i/>
        </w:rPr>
      </w:pPr>
      <w:r>
        <w:rPr>
          <w:i/>
        </w:rPr>
        <w:t>Proposal 1-2C: Whether to support the following case can be further discussed for Scenario 2.</w:t>
      </w:r>
    </w:p>
    <w:p>
      <w:pPr>
        <w:jc w:val="both"/>
        <w:rPr>
          <w:i/>
        </w:rPr>
      </w:pPr>
      <w:r>
        <w:rPr>
          <w:i/>
        </w:rPr>
        <w:t>B.</w:t>
      </w:r>
      <w:r>
        <w:rPr>
          <w:i/>
        </w:rPr>
        <w:tab/>
      </w:r>
      <w:r>
        <w:rPr>
          <w:i/>
        </w:rPr>
        <w:t xml:space="preserve">The remote UE configured only on the indirect path adds the direct path under the same gNB; </w:t>
      </w:r>
    </w:p>
    <w:p>
      <w:pPr>
        <w:jc w:val="both"/>
        <w:rPr>
          <w:i/>
        </w:rPr>
      </w:pPr>
      <w:r>
        <w:rPr>
          <w:i/>
        </w:rPr>
        <w:t>D.</w:t>
      </w:r>
      <w:r>
        <w:rPr>
          <w:i/>
        </w:rPr>
        <w:tab/>
      </w:r>
      <w:r>
        <w:rPr>
          <w:i/>
        </w:rPr>
        <w:t>The remote UE configured with multi-path releases the direct path;</w:t>
      </w:r>
    </w:p>
    <w:p>
      <w:pPr>
        <w:jc w:val="both"/>
        <w:rPr>
          <w:i/>
          <w:color w:val="FF0000"/>
        </w:rPr>
      </w:pPr>
      <w:r>
        <w:rPr>
          <w:i/>
          <w:color w:val="FF0000"/>
        </w:rPr>
        <w:t>E.</w:t>
      </w:r>
      <w:r>
        <w:rPr>
          <w:i/>
          <w:color w:val="FF0000"/>
        </w:rPr>
        <w:tab/>
      </w:r>
      <w:r>
        <w:rPr>
          <w:i/>
          <w:color w:val="FF0000"/>
        </w:rPr>
        <w:t>The remote UE configured with multi-path changes the serving cell of the remote UE for the direct path while keeping the serving relay UE for the indirect path under the same gNB;</w:t>
      </w:r>
    </w:p>
    <w:p>
      <w:pPr>
        <w:jc w:val="both"/>
        <w:rPr>
          <w:i/>
        </w:rPr>
      </w:pPr>
      <w:r>
        <w:rPr>
          <w:i/>
        </w:rPr>
        <w:t>G.</w:t>
      </w:r>
      <w:r>
        <w:rPr>
          <w:i/>
        </w:rPr>
        <w:tab/>
      </w:r>
      <w:r>
        <w:rPr>
          <w:i/>
        </w:rPr>
        <w:t>The remote UE configured with multi-path changes to a new relay UE for the indirect path while keeping the direct path under the same gNB.</w:t>
      </w:r>
    </w:p>
    <w:p>
      <w:pPr>
        <w:spacing w:before="120" w:beforeLines="50"/>
        <w:jc w:val="both"/>
        <w:rPr>
          <w:rFonts w:eastAsiaTheme="minorEastAsia"/>
          <w:szCs w:val="20"/>
          <w:lang w:eastAsia="zh-CN"/>
        </w:rPr>
      </w:pPr>
      <w:r>
        <w:rPr>
          <w:rFonts w:eastAsiaTheme="minorEastAsia"/>
          <w:szCs w:val="20"/>
          <w:lang w:eastAsia="zh-CN"/>
        </w:rPr>
        <w:t xml:space="preserve">In our understanding, whether to support case B &amp; D is decided by the link quality difference between the remote UE’s Uu link and the relay </w:t>
      </w:r>
      <w:r>
        <w:rPr>
          <w:rFonts w:hint="eastAsia" w:eastAsiaTheme="minorEastAsia"/>
          <w:szCs w:val="20"/>
          <w:lang w:eastAsia="zh-CN"/>
        </w:rPr>
        <w:t>UE</w:t>
      </w:r>
      <w:r>
        <w:rPr>
          <w:rFonts w:eastAsiaTheme="minorEastAsia"/>
          <w:szCs w:val="20"/>
          <w:lang w:eastAsia="zh-CN"/>
        </w:rPr>
        <w:t xml:space="preserve">’s Uu link when the inter-UE backhaul is ideal. If an ideal backhaul can deduce that the distance between these two UEs is very close, which means that it is a very low probability that the remote UE is OOC or with poor Uu link and meanwhile the relay UE has a good enough link quality to act as a relay role, case B&amp;D are not urgently supported in this release. </w:t>
      </w:r>
      <w:r>
        <w:rPr>
          <w:rFonts w:hint="eastAsia" w:eastAsiaTheme="minorEastAsia"/>
          <w:szCs w:val="20"/>
          <w:lang w:eastAsia="zh-CN"/>
        </w:rPr>
        <w:t>However,</w:t>
      </w:r>
      <w:r>
        <w:rPr>
          <w:rFonts w:eastAsiaTheme="minorEastAsia"/>
          <w:szCs w:val="20"/>
          <w:lang w:eastAsia="zh-CN"/>
        </w:rPr>
        <w:t xml:space="preserve"> from the perspective of commonality between Scenario-1 &amp; 2</w:t>
      </w:r>
      <w:r>
        <w:rPr>
          <w:rFonts w:hint="eastAsia" w:eastAsiaTheme="minorEastAsia"/>
          <w:szCs w:val="20"/>
          <w:lang w:eastAsia="zh-CN"/>
        </w:rPr>
        <w:t>,</w:t>
      </w:r>
      <w:r>
        <w:rPr>
          <w:rFonts w:eastAsiaTheme="minorEastAsia"/>
          <w:szCs w:val="20"/>
          <w:lang w:eastAsia="zh-CN"/>
        </w:rPr>
        <w:t xml:space="preserve"> case B&amp;D can be supported with low specification efforts.</w:t>
      </w:r>
    </w:p>
    <w:p>
      <w:pPr>
        <w:spacing w:before="120" w:beforeLines="50"/>
        <w:jc w:val="both"/>
        <w:rPr>
          <w:rFonts w:eastAsiaTheme="minorEastAsia"/>
          <w:szCs w:val="20"/>
          <w:lang w:eastAsia="zh-CN"/>
        </w:rPr>
      </w:pPr>
      <w:r>
        <w:rPr>
          <w:rFonts w:hint="eastAsia" w:eastAsiaTheme="minorEastAsia"/>
          <w:szCs w:val="20"/>
          <w:lang w:eastAsia="zh-CN"/>
        </w:rPr>
        <w:t>F</w:t>
      </w:r>
      <w:r>
        <w:rPr>
          <w:rFonts w:eastAsiaTheme="minorEastAsia"/>
          <w:szCs w:val="20"/>
          <w:lang w:eastAsia="zh-CN"/>
        </w:rPr>
        <w:t>or case E, this is a very important scenario for the remote UE mobility. If case E is not supported, the remote UE mobility is equivalent to not being supported at all in release 18, which will limit the usage of Scenario-2. Considering the detailed solutions, a single procedure is more preferable, which is similar as a PCell change procedure since the PCell of remote UE will always locate in the direct path.</w:t>
      </w:r>
    </w:p>
    <w:p>
      <w:pPr>
        <w:spacing w:before="120" w:beforeLines="50"/>
        <w:jc w:val="both"/>
        <w:rPr>
          <w:rFonts w:eastAsiaTheme="minorEastAsia"/>
          <w:szCs w:val="20"/>
          <w:lang w:eastAsia="zh-CN"/>
        </w:rPr>
      </w:pPr>
      <w:r>
        <w:rPr>
          <w:rFonts w:hint="eastAsia" w:eastAsiaTheme="minorEastAsia"/>
          <w:szCs w:val="20"/>
          <w:lang w:eastAsia="zh-CN"/>
        </w:rPr>
        <w:t>F</w:t>
      </w:r>
      <w:r>
        <w:rPr>
          <w:rFonts w:eastAsiaTheme="minorEastAsia"/>
          <w:szCs w:val="20"/>
          <w:lang w:eastAsia="zh-CN"/>
        </w:rPr>
        <w:t>or case G, it may be a very low probability that a remote UE can maintain semi-static ideal backhaul with multiple relay UEs. Hence, case G can be considered with a very low priority in release 18. Furthermore, if the scenario of multiple relay UEs with ideal backhaul can gradually mature, not only switching case between different relay UEs but also multiple indirect paths can be considered in release 19 or later.</w:t>
      </w:r>
    </w:p>
    <w:p>
      <w:pPr>
        <w:pStyle w:val="98"/>
        <w:numPr>
          <w:ilvl w:val="0"/>
          <w:numId w:val="7"/>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F</w:t>
      </w:r>
      <w:r>
        <w:rPr>
          <w:rFonts w:ascii="Times New Roman" w:hAnsi="Times New Roman" w:eastAsia="宋体"/>
        </w:rPr>
        <w:t xml:space="preserve">or </w:t>
      </w:r>
      <w:r>
        <w:rPr>
          <w:rFonts w:hint="eastAsia" w:ascii="Times New Roman" w:hAnsi="Times New Roman" w:eastAsia="宋体"/>
        </w:rPr>
        <w:t>S</w:t>
      </w:r>
      <w:r>
        <w:rPr>
          <w:rFonts w:ascii="Times New Roman" w:hAnsi="Times New Roman" w:eastAsia="宋体"/>
        </w:rPr>
        <w:t>cenario-2</w:t>
      </w:r>
      <w:r>
        <w:rPr>
          <w:rFonts w:hint="eastAsia" w:ascii="Times New Roman" w:hAnsi="Times New Roman" w:eastAsia="宋体"/>
        </w:rPr>
        <w:t xml:space="preserve">, </w:t>
      </w:r>
      <w:r>
        <w:rPr>
          <w:rFonts w:ascii="Times New Roman" w:hAnsi="Times New Roman" w:eastAsia="宋体"/>
        </w:rPr>
        <w:t xml:space="preserve">whether/how to support </w:t>
      </w:r>
      <w:r>
        <w:rPr>
          <w:rFonts w:hint="eastAsia" w:ascii="Times New Roman" w:hAnsi="Times New Roman" w:eastAsia="宋体"/>
          <w:lang w:val="en-US"/>
        </w:rPr>
        <w:t>C</w:t>
      </w:r>
      <w:r>
        <w:rPr>
          <w:rFonts w:hint="eastAsia" w:ascii="Times New Roman" w:hAnsi="Times New Roman" w:eastAsia="宋体"/>
        </w:rPr>
        <w:t xml:space="preserve">ase </w:t>
      </w:r>
      <w:r>
        <w:rPr>
          <w:rFonts w:ascii="Times New Roman" w:hAnsi="Times New Roman" w:eastAsia="宋体"/>
        </w:rPr>
        <w:t>B &amp; D can be left to WI phase</w:t>
      </w:r>
      <w:r>
        <w:rPr>
          <w:rFonts w:hint="eastAsia" w:ascii="Times New Roman" w:hAnsi="Times New Roman" w:eastAsia="宋体"/>
        </w:rPr>
        <w:t>.</w:t>
      </w:r>
    </w:p>
    <w:p>
      <w:pPr>
        <w:pStyle w:val="98"/>
        <w:numPr>
          <w:ilvl w:val="0"/>
          <w:numId w:val="7"/>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F</w:t>
      </w:r>
      <w:r>
        <w:rPr>
          <w:rFonts w:ascii="Times New Roman" w:hAnsi="Times New Roman" w:eastAsia="宋体"/>
        </w:rPr>
        <w:t xml:space="preserve">or </w:t>
      </w:r>
      <w:r>
        <w:rPr>
          <w:rFonts w:hint="eastAsia" w:ascii="Times New Roman" w:hAnsi="Times New Roman" w:eastAsia="宋体"/>
        </w:rPr>
        <w:t>S</w:t>
      </w:r>
      <w:r>
        <w:rPr>
          <w:rFonts w:ascii="Times New Roman" w:hAnsi="Times New Roman" w:eastAsia="宋体"/>
        </w:rPr>
        <w:t>cenario-2</w:t>
      </w:r>
      <w:r>
        <w:rPr>
          <w:rFonts w:hint="eastAsia" w:ascii="Times New Roman" w:hAnsi="Times New Roman" w:eastAsia="宋体"/>
        </w:rPr>
        <w:t>, Case E</w:t>
      </w:r>
      <w:r>
        <w:rPr>
          <w:rFonts w:ascii="Times New Roman" w:hAnsi="Times New Roman" w:eastAsia="宋体"/>
        </w:rPr>
        <w:t xml:space="preserve"> needs to be</w:t>
      </w:r>
      <w:r>
        <w:rPr>
          <w:rFonts w:hint="eastAsia" w:ascii="Times New Roman" w:hAnsi="Times New Roman" w:eastAsia="宋体"/>
        </w:rPr>
        <w:t xml:space="preserve"> supported </w:t>
      </w:r>
      <w:r>
        <w:rPr>
          <w:rFonts w:ascii="Times New Roman" w:hAnsi="Times New Roman" w:eastAsia="宋体"/>
        </w:rPr>
        <w:t>and a single procedure like legacy PCell change is more preferable</w:t>
      </w:r>
      <w:r>
        <w:rPr>
          <w:rFonts w:hint="eastAsia" w:ascii="Times New Roman" w:hAnsi="Times New Roman" w:eastAsia="宋体"/>
        </w:rPr>
        <w:t>.</w:t>
      </w:r>
    </w:p>
    <w:p>
      <w:pPr>
        <w:pStyle w:val="98"/>
        <w:numPr>
          <w:ilvl w:val="0"/>
          <w:numId w:val="7"/>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F</w:t>
      </w:r>
      <w:r>
        <w:rPr>
          <w:rFonts w:ascii="Times New Roman" w:hAnsi="Times New Roman" w:eastAsia="宋体"/>
        </w:rPr>
        <w:t>or Scenario-2, Case G does not need to be supported in Release 18.</w:t>
      </w:r>
    </w:p>
    <w:p>
      <w:pPr>
        <w:keepNext/>
        <w:widowControl w:val="0"/>
        <w:numPr>
          <w:ilvl w:val="1"/>
          <w:numId w:val="6"/>
        </w:numPr>
        <w:spacing w:before="180" w:after="180"/>
        <w:jc w:val="both"/>
        <w:outlineLvl w:val="1"/>
        <w:rPr>
          <w:rFonts w:ascii="Arial" w:hAnsi="Arial" w:eastAsia="等线" w:cs="Arial"/>
          <w:iCs/>
          <w:sz w:val="32"/>
          <w:szCs w:val="32"/>
          <w:lang w:eastAsia="zh-CN"/>
        </w:rPr>
      </w:pPr>
      <w:bookmarkStart w:id="6" w:name="_GoBack"/>
      <w:bookmarkEnd w:id="6"/>
      <w:r>
        <w:rPr>
          <w:rFonts w:ascii="Arial" w:hAnsi="Arial" w:eastAsia="等线" w:cs="Arial"/>
          <w:iCs/>
          <w:sz w:val="32"/>
          <w:szCs w:val="32"/>
          <w:lang w:eastAsia="zh-CN"/>
        </w:rPr>
        <w:t>Path addition and release procedure</w:t>
      </w:r>
    </w:p>
    <w:p>
      <w:pPr>
        <w:spacing w:before="120" w:after="120" w:line="260" w:lineRule="auto"/>
        <w:jc w:val="both"/>
        <w:rPr>
          <w:rFonts w:eastAsia="等线"/>
          <w:lang w:val="en-GB" w:eastAsia="zh-CN"/>
        </w:rPr>
      </w:pPr>
      <w:r>
        <w:rPr>
          <w:rFonts w:eastAsia="等线"/>
          <w:lang w:val="en-GB" w:eastAsia="zh-CN"/>
        </w:rPr>
        <w:t xml:space="preserve">The corresponding signalling procedure </w:t>
      </w:r>
      <w:r>
        <w:rPr>
          <w:rFonts w:hint="eastAsia" w:eastAsia="等线"/>
          <w:lang w:eastAsia="zh-CN"/>
        </w:rPr>
        <w:t xml:space="preserve">for each of the following cases </w:t>
      </w:r>
      <w:r>
        <w:rPr>
          <w:rFonts w:eastAsia="等线"/>
          <w:lang w:val="en-GB" w:eastAsia="zh-CN"/>
        </w:rPr>
        <w:t>will be discussed in this section.</w:t>
      </w:r>
    </w:p>
    <w:p>
      <w:pPr>
        <w:numPr>
          <w:ilvl w:val="0"/>
          <w:numId w:val="8"/>
        </w:numPr>
        <w:overflowPunct w:val="0"/>
        <w:autoSpaceDE w:val="0"/>
        <w:autoSpaceDN w:val="0"/>
        <w:adjustRightInd w:val="0"/>
        <w:spacing w:after="180"/>
        <w:textAlignment w:val="baseline"/>
        <w:rPr>
          <w:b/>
          <w:lang w:eastAsia="ko-KR"/>
        </w:rPr>
      </w:pPr>
      <w:r>
        <w:rPr>
          <w:b/>
          <w:lang w:eastAsia="ko-KR"/>
        </w:rPr>
        <w:t xml:space="preserve">Case A: The remote UE configured only on the direct path adds the indirect path under the same gNB; </w:t>
      </w:r>
    </w:p>
    <w:p>
      <w:pPr>
        <w:numPr>
          <w:ilvl w:val="0"/>
          <w:numId w:val="8"/>
        </w:numPr>
        <w:overflowPunct w:val="0"/>
        <w:autoSpaceDE w:val="0"/>
        <w:autoSpaceDN w:val="0"/>
        <w:adjustRightInd w:val="0"/>
        <w:spacing w:after="180"/>
        <w:textAlignment w:val="baseline"/>
        <w:rPr>
          <w:b/>
          <w:lang w:eastAsia="ko-KR"/>
        </w:rPr>
      </w:pPr>
      <w:r>
        <w:rPr>
          <w:b/>
          <w:lang w:eastAsia="ko-KR"/>
        </w:rPr>
        <w:t xml:space="preserve">Case B: The remote UE configured only on the indirect path adds the direct path under the same gNB; </w:t>
      </w:r>
    </w:p>
    <w:p>
      <w:pPr>
        <w:numPr>
          <w:ilvl w:val="0"/>
          <w:numId w:val="8"/>
        </w:numPr>
        <w:overflowPunct w:val="0"/>
        <w:autoSpaceDE w:val="0"/>
        <w:autoSpaceDN w:val="0"/>
        <w:adjustRightInd w:val="0"/>
        <w:spacing w:after="180"/>
        <w:textAlignment w:val="baseline"/>
        <w:rPr>
          <w:b/>
          <w:lang w:eastAsia="ko-KR"/>
        </w:rPr>
      </w:pPr>
      <w:r>
        <w:rPr>
          <w:b/>
          <w:lang w:eastAsia="ko-KR"/>
        </w:rPr>
        <w:t>Case C: The remote UE configured with multi-path releases the indirect path;</w:t>
      </w:r>
    </w:p>
    <w:p>
      <w:pPr>
        <w:numPr>
          <w:ilvl w:val="0"/>
          <w:numId w:val="8"/>
        </w:numPr>
        <w:overflowPunct w:val="0"/>
        <w:autoSpaceDE w:val="0"/>
        <w:autoSpaceDN w:val="0"/>
        <w:adjustRightInd w:val="0"/>
        <w:spacing w:after="180"/>
        <w:textAlignment w:val="baseline"/>
        <w:rPr>
          <w:b/>
          <w:lang w:eastAsia="ko-KR"/>
        </w:rPr>
      </w:pPr>
      <w:r>
        <w:rPr>
          <w:b/>
          <w:lang w:eastAsia="ko-KR"/>
        </w:rPr>
        <w:t>Case D: The remote UE configured with multi-path releases the direct path;</w:t>
      </w:r>
    </w:p>
    <w:p>
      <w:pPr>
        <w:keepNext/>
        <w:widowControl w:val="0"/>
        <w:numPr>
          <w:ilvl w:val="2"/>
          <w:numId w:val="6"/>
        </w:numPr>
        <w:tabs>
          <w:tab w:val="left" w:pos="567"/>
        </w:tabs>
        <w:spacing w:before="180" w:after="180"/>
        <w:jc w:val="both"/>
        <w:outlineLvl w:val="1"/>
        <w:rPr>
          <w:rFonts w:ascii="Arial" w:hAnsi="Arial" w:eastAsia="等线" w:cs="Arial"/>
          <w:iCs/>
          <w:sz w:val="28"/>
          <w:szCs w:val="28"/>
          <w:lang w:val="en-GB"/>
        </w:rPr>
      </w:pPr>
      <w:r>
        <w:rPr>
          <w:rFonts w:ascii="Arial" w:hAnsi="Arial" w:eastAsia="等线" w:cs="Arial"/>
          <w:iCs/>
          <w:sz w:val="28"/>
          <w:szCs w:val="28"/>
          <w:lang w:val="en-GB"/>
        </w:rPr>
        <w:t>Procedure of Case A for Scenario-1</w:t>
      </w:r>
    </w:p>
    <w:p>
      <w:pPr>
        <w:overflowPunct w:val="0"/>
        <w:autoSpaceDE w:val="0"/>
        <w:autoSpaceDN w:val="0"/>
        <w:adjustRightInd w:val="0"/>
        <w:spacing w:after="120"/>
        <w:jc w:val="center"/>
        <w:textAlignment w:val="baseline"/>
        <w:rPr>
          <w:rFonts w:eastAsia="宋体"/>
          <w:lang w:eastAsia="zh-CN"/>
        </w:rPr>
      </w:pPr>
      <w:r>
        <w:rPr>
          <w:rFonts w:eastAsia="宋体"/>
          <w:lang w:eastAsia="zh-CN"/>
        </w:rPr>
        <w:drawing>
          <wp:inline distT="0" distB="0" distL="0" distR="0">
            <wp:extent cx="5024755" cy="2033270"/>
            <wp:effectExtent l="0" t="0" r="4445"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046819" cy="2042146"/>
                    </a:xfrm>
                    <a:prstGeom prst="rect">
                      <a:avLst/>
                    </a:prstGeom>
                    <a:noFill/>
                  </pic:spPr>
                </pic:pic>
              </a:graphicData>
            </a:graphic>
          </wp:inline>
        </w:drawing>
      </w:r>
    </w:p>
    <w:p>
      <w:pPr>
        <w:overflowPunct w:val="0"/>
        <w:autoSpaceDE w:val="0"/>
        <w:autoSpaceDN w:val="0"/>
        <w:adjustRightInd w:val="0"/>
        <w:spacing w:after="120"/>
        <w:jc w:val="center"/>
        <w:textAlignment w:val="baseline"/>
        <w:rPr>
          <w:rFonts w:eastAsia="宋体"/>
          <w:lang w:eastAsia="zh-CN"/>
        </w:rPr>
      </w:pPr>
    </w:p>
    <w:p>
      <w:pPr>
        <w:pStyle w:val="3"/>
        <w:jc w:val="center"/>
        <w:rPr>
          <w:rFonts w:eastAsia="宋体"/>
          <w:b/>
          <w:lang w:eastAsia="zh-CN"/>
        </w:rPr>
      </w:pPr>
      <w:bookmarkStart w:id="4" w:name="_Ref110415184"/>
      <w:r>
        <w:rPr>
          <w:b/>
          <w:lang w:eastAsia="zh-CN"/>
        </w:rPr>
        <w:t xml:space="preserve">Figure </w:t>
      </w:r>
      <w:bookmarkEnd w:id="4"/>
      <w:r>
        <w:rPr>
          <w:b/>
          <w:lang w:eastAsia="zh-CN"/>
        </w:rPr>
        <w:t>1: Procedure of Case A in Scenario-1</w:t>
      </w:r>
    </w:p>
    <w:p>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 xml:space="preserve">Figure 1 </w:t>
      </w:r>
      <w:r>
        <w:rPr>
          <w:rFonts w:hint="eastAsia" w:eastAsia="等线"/>
          <w:lang w:val="en-GB" w:eastAsia="zh-CN"/>
        </w:rPr>
        <w:t>shows</w:t>
      </w:r>
      <w:r>
        <w:rPr>
          <w:rFonts w:eastAsia="等线"/>
          <w:lang w:val="en-GB" w:eastAsia="zh-CN"/>
        </w:rPr>
        <w:t xml:space="preserve"> an example proc</w:t>
      </w:r>
      <w:r>
        <w:rPr>
          <w:rFonts w:hint="eastAsia" w:eastAsia="等线"/>
          <w:lang w:val="en-GB" w:eastAsia="zh-CN"/>
        </w:rPr>
        <w:t>e</w:t>
      </w:r>
      <w:r>
        <w:rPr>
          <w:rFonts w:eastAsia="等线"/>
          <w:lang w:val="en-GB" w:eastAsia="zh-CN"/>
        </w:rPr>
        <w:t xml:space="preserve">dure </w:t>
      </w:r>
      <w:r>
        <w:rPr>
          <w:rFonts w:hint="eastAsia" w:eastAsia="等线"/>
          <w:lang w:val="en-GB" w:eastAsia="zh-CN"/>
        </w:rPr>
        <w:t>of</w:t>
      </w:r>
      <w:r>
        <w:rPr>
          <w:rFonts w:eastAsia="等线"/>
          <w:lang w:val="en-GB" w:eastAsia="zh-CN"/>
        </w:rPr>
        <w:t xml:space="preserve"> Case A for Scenario-1. The related procedure is similar to the intra-gNB D2I path switch but without </w:t>
      </w:r>
      <w:r>
        <w:rPr>
          <w:rFonts w:hint="eastAsia" w:eastAsia="等线"/>
          <w:lang w:val="en-GB" w:eastAsia="zh-CN"/>
        </w:rPr>
        <w:t>releasing</w:t>
      </w:r>
      <w:r>
        <w:rPr>
          <w:rFonts w:eastAsia="等线"/>
          <w:lang w:val="en-GB" w:eastAsia="zh-CN"/>
        </w:rPr>
        <w:t xml:space="preserve"> the direct path after D2I path switch. The gNB, upon reception of the secondary path request and/or the measurement results, can determine to add indirect path for and send the related RRC reconfigurations to the remote UE. If the target relay UE is in RRC_IDLE/INACTIVE state, certain notification can be sent </w:t>
      </w:r>
      <w:r>
        <w:rPr>
          <w:rFonts w:hint="eastAsia" w:eastAsia="等线"/>
          <w:lang w:val="en-GB" w:eastAsia="zh-CN"/>
        </w:rPr>
        <w:t>from</w:t>
      </w:r>
      <w:r>
        <w:rPr>
          <w:rFonts w:eastAsia="等线"/>
          <w:lang w:val="en-GB" w:eastAsia="zh-CN"/>
        </w:rPr>
        <w:t xml:space="preserve"> the remote UE to the target the relay UE so that the target relay UE can initiate the RRC setup</w:t>
      </w:r>
      <w:r>
        <w:rPr>
          <w:rFonts w:hint="eastAsia" w:eastAsia="等线"/>
          <w:lang w:eastAsia="zh-CN"/>
        </w:rPr>
        <w:t>/resume</w:t>
      </w:r>
      <w:r>
        <w:rPr>
          <w:rFonts w:eastAsia="等线"/>
          <w:lang w:val="en-GB" w:eastAsia="zh-CN"/>
        </w:rPr>
        <w:t xml:space="preserve"> procedure with the gNB. </w:t>
      </w:r>
      <w:r>
        <w:rPr>
          <w:rFonts w:hint="eastAsia" w:eastAsia="等线"/>
          <w:lang w:eastAsia="zh-CN"/>
        </w:rPr>
        <w:t>A</w:t>
      </w:r>
      <w:r>
        <w:rPr>
          <w:rFonts w:eastAsia="等线"/>
          <w:lang w:val="en-GB" w:eastAsia="zh-CN"/>
        </w:rPr>
        <w:t>fter the relay UE</w:t>
      </w:r>
      <w:r>
        <w:rPr>
          <w:rFonts w:hint="eastAsia" w:eastAsia="等线"/>
          <w:lang w:eastAsia="zh-CN"/>
        </w:rPr>
        <w:t xml:space="preserve"> enters RRC</w:t>
      </w:r>
      <w:r>
        <w:rPr>
          <w:rFonts w:eastAsia="等线"/>
          <w:lang w:eastAsia="zh-CN"/>
        </w:rPr>
        <w:t>_CONNECTED state, t</w:t>
      </w:r>
      <w:r>
        <w:rPr>
          <w:rFonts w:eastAsia="等线"/>
          <w:lang w:val="en-GB" w:eastAsia="zh-CN"/>
        </w:rPr>
        <w:t>he gNB can provide related configuration to the relay UE in order to support indirect path for the remote U</w:t>
      </w:r>
      <w:r>
        <w:rPr>
          <w:rFonts w:hint="eastAsia" w:eastAsia="等线"/>
          <w:lang w:val="en-GB" w:eastAsia="zh-CN"/>
        </w:rPr>
        <w:t>E</w:t>
      </w:r>
      <w:r>
        <w:rPr>
          <w:rFonts w:eastAsia="等线"/>
          <w:lang w:val="en-GB" w:eastAsia="zh-CN"/>
        </w:rPr>
        <w:t xml:space="preserve">. </w:t>
      </w:r>
    </w:p>
    <w:p>
      <w:pPr>
        <w:pStyle w:val="98"/>
        <w:numPr>
          <w:ilvl w:val="0"/>
          <w:numId w:val="7"/>
        </w:numPr>
        <w:tabs>
          <w:tab w:val="left" w:pos="2024"/>
          <w:tab w:val="clear" w:pos="1304"/>
        </w:tabs>
        <w:spacing w:before="120" w:beforeLines="50"/>
        <w:ind w:left="1701" w:hanging="1701"/>
        <w:rPr>
          <w:rFonts w:ascii="Times New Roman" w:hAnsi="Times New Roman" w:eastAsia="宋体"/>
        </w:rPr>
      </w:pPr>
      <w:r>
        <w:rPr>
          <w:rFonts w:ascii="Times New Roman" w:hAnsi="Times New Roman" w:eastAsia="宋体"/>
        </w:rPr>
        <w:t xml:space="preserve">For indirect path addition after direct path setup (i.e. Case A) in Scenario-1, the existing intra-gNB D2I switch procedure can be reused </w:t>
      </w:r>
      <w:r>
        <w:rPr>
          <w:rFonts w:hint="eastAsia" w:ascii="Times New Roman" w:hAnsi="Times New Roman" w:eastAsia="宋体"/>
          <w:lang w:val="en-US"/>
        </w:rPr>
        <w:t>but</w:t>
      </w:r>
      <w:r>
        <w:rPr>
          <w:rFonts w:ascii="Times New Roman" w:hAnsi="Times New Roman" w:eastAsia="宋体"/>
        </w:rPr>
        <w:t xml:space="preserve"> </w:t>
      </w:r>
      <w:r>
        <w:rPr>
          <w:rFonts w:hint="eastAsia" w:ascii="Times New Roman" w:hAnsi="Times New Roman" w:eastAsia="宋体"/>
          <w:lang w:val="en-US"/>
        </w:rPr>
        <w:t xml:space="preserve">skipping </w:t>
      </w:r>
      <w:r>
        <w:rPr>
          <w:rFonts w:ascii="Times New Roman" w:hAnsi="Times New Roman" w:eastAsia="宋体"/>
        </w:rPr>
        <w:t>the step to release the direct path after indirect path addition.</w:t>
      </w:r>
    </w:p>
    <w:p>
      <w:pPr>
        <w:keepNext/>
        <w:widowControl w:val="0"/>
        <w:numPr>
          <w:ilvl w:val="2"/>
          <w:numId w:val="6"/>
        </w:numPr>
        <w:tabs>
          <w:tab w:val="left" w:pos="567"/>
        </w:tabs>
        <w:spacing w:before="180" w:after="180"/>
        <w:jc w:val="both"/>
        <w:outlineLvl w:val="1"/>
        <w:rPr>
          <w:rFonts w:ascii="Arial" w:hAnsi="Arial" w:eastAsia="等线" w:cs="Arial"/>
          <w:iCs/>
          <w:sz w:val="30"/>
          <w:szCs w:val="30"/>
        </w:rPr>
      </w:pPr>
      <w:bookmarkStart w:id="5" w:name="_Hlk115075727"/>
      <w:r>
        <w:rPr>
          <w:rFonts w:ascii="Arial" w:hAnsi="Arial" w:eastAsia="等线" w:cs="Arial"/>
          <w:iCs/>
          <w:sz w:val="28"/>
          <w:szCs w:val="28"/>
          <w:lang w:val="en-GB"/>
        </w:rPr>
        <w:t>Procedure</w:t>
      </w:r>
      <w:r>
        <w:rPr>
          <w:rFonts w:ascii="Arial" w:hAnsi="Arial" w:eastAsia="等线" w:cs="Arial"/>
          <w:iCs/>
          <w:sz w:val="30"/>
          <w:szCs w:val="30"/>
        </w:rPr>
        <w:t xml:space="preserve"> of Case B for Scenario-1</w:t>
      </w:r>
    </w:p>
    <w:bookmarkEnd w:id="5"/>
    <w:p>
      <w:pPr>
        <w:overflowPunct w:val="0"/>
        <w:autoSpaceDE w:val="0"/>
        <w:autoSpaceDN w:val="0"/>
        <w:adjustRightInd w:val="0"/>
        <w:spacing w:after="120"/>
        <w:jc w:val="both"/>
        <w:textAlignment w:val="baseline"/>
        <w:rPr>
          <w:rFonts w:eastAsia="等线"/>
          <w:lang w:eastAsia="zh-CN"/>
        </w:rPr>
      </w:pPr>
      <w:r>
        <w:rPr>
          <w:rFonts w:eastAsia="等线"/>
          <w:lang w:val="en-GB" w:eastAsia="zh-CN"/>
        </w:rPr>
        <w:fldChar w:fldCharType="begin"/>
      </w:r>
      <w:r>
        <w:rPr>
          <w:rFonts w:eastAsia="等线"/>
          <w:lang w:val="en-GB" w:eastAsia="zh-CN"/>
        </w:rPr>
        <w:instrText xml:space="preserve"> </w:instrText>
      </w:r>
      <w:r>
        <w:rPr>
          <w:rFonts w:hint="eastAsia" w:eastAsia="等线"/>
          <w:lang w:val="en-GB" w:eastAsia="zh-CN"/>
        </w:rPr>
        <w:instrText xml:space="preserve">REF _Ref110417767 \h</w:instrText>
      </w:r>
      <w:r>
        <w:rPr>
          <w:rFonts w:eastAsia="等线"/>
          <w:lang w:val="en-GB" w:eastAsia="zh-CN"/>
        </w:rPr>
        <w:instrText xml:space="preserve"> </w:instrText>
      </w:r>
      <w:r>
        <w:rPr>
          <w:rFonts w:eastAsia="等线"/>
          <w:lang w:val="en-GB" w:eastAsia="zh-CN"/>
        </w:rPr>
        <w:fldChar w:fldCharType="separate"/>
      </w:r>
      <w:r>
        <w:rPr>
          <w:lang w:val="en-GB"/>
        </w:rPr>
        <w:t>Figure</w:t>
      </w:r>
      <w:r>
        <w:rPr>
          <w:rFonts w:eastAsia="等线"/>
          <w:lang w:val="en-GB" w:eastAsia="zh-CN"/>
        </w:rPr>
        <w:fldChar w:fldCharType="end"/>
      </w:r>
      <w:r>
        <w:rPr>
          <w:rFonts w:eastAsia="等线"/>
          <w:lang w:val="en-GB" w:eastAsia="zh-CN"/>
        </w:rPr>
        <w:t xml:space="preserve"> 2 </w:t>
      </w:r>
      <w:r>
        <w:rPr>
          <w:rFonts w:hint="eastAsia" w:eastAsia="等线"/>
          <w:lang w:val="en-GB" w:eastAsia="zh-CN"/>
        </w:rPr>
        <w:t>shows</w:t>
      </w:r>
      <w:r>
        <w:rPr>
          <w:rFonts w:eastAsia="等线"/>
          <w:lang w:val="en-GB" w:eastAsia="zh-CN"/>
        </w:rPr>
        <w:t xml:space="preserve"> the example proc</w:t>
      </w:r>
      <w:r>
        <w:rPr>
          <w:rFonts w:hint="eastAsia" w:eastAsia="等线"/>
          <w:lang w:val="en-GB" w:eastAsia="zh-CN"/>
        </w:rPr>
        <w:t>e</w:t>
      </w:r>
      <w:r>
        <w:rPr>
          <w:rFonts w:eastAsia="等线"/>
          <w:lang w:val="en-GB" w:eastAsia="zh-CN"/>
        </w:rPr>
        <w:t xml:space="preserve">dure </w:t>
      </w:r>
      <w:r>
        <w:rPr>
          <w:rFonts w:hint="eastAsia" w:eastAsia="等线"/>
          <w:lang w:val="en-GB" w:eastAsia="zh-CN"/>
        </w:rPr>
        <w:t>of</w:t>
      </w:r>
      <w:r>
        <w:rPr>
          <w:rFonts w:eastAsia="等线"/>
          <w:lang w:val="en-GB" w:eastAsia="zh-CN"/>
        </w:rPr>
        <w:t xml:space="preserve"> Case B. </w:t>
      </w:r>
      <w:r>
        <w:rPr>
          <w:rFonts w:hint="eastAsia" w:eastAsia="等线"/>
          <w:lang w:val="en-GB" w:eastAsia="zh-CN"/>
        </w:rPr>
        <w:t>The</w:t>
      </w:r>
      <w:r>
        <w:rPr>
          <w:rFonts w:eastAsia="等线"/>
          <w:lang w:val="en-GB" w:eastAsia="zh-CN"/>
        </w:rPr>
        <w:t xml:space="preserve"> related procedure is similar to the intra-gNB I2D path switch without releasing the indirect path after the direct path addition. Once the potential candidate cells for direct path has been identified and measured by the remote UE, the remote UE can initiate the secondary path addition request with measurement results included or simply report the measurement results to the gNB. Upon reception of the secondary path addition request or the measurement results, the gNB can determine to add the direct path for the remote UE and sends the RRCReconfiguration comprising direct path addition configuration to the remote UE. Upon reception of the RRCReconfiguration, the remote UE executes the configuration and setups radio link with the gNB using RACH procedure. After radio link setup with the gNB, the remote UE sends the RRCReconfigurationComplete message to the gNB to confirm the direct path setup success. </w:t>
      </w:r>
    </w:p>
    <w:p>
      <w:pPr>
        <w:overflowPunct w:val="0"/>
        <w:autoSpaceDE w:val="0"/>
        <w:autoSpaceDN w:val="0"/>
        <w:adjustRightInd w:val="0"/>
        <w:spacing w:after="120"/>
        <w:jc w:val="center"/>
        <w:textAlignment w:val="baseline"/>
        <w:rPr>
          <w:rFonts w:eastAsia="宋体"/>
          <w:lang w:eastAsia="zh-CN"/>
        </w:rPr>
      </w:pPr>
      <w:r>
        <w:rPr>
          <w:rFonts w:eastAsia="宋体"/>
          <w:lang w:eastAsia="zh-CN"/>
        </w:rPr>
        <w:drawing>
          <wp:inline distT="0" distB="0" distL="0" distR="0">
            <wp:extent cx="5238115" cy="2021205"/>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260469" cy="2029936"/>
                    </a:xfrm>
                    <a:prstGeom prst="rect">
                      <a:avLst/>
                    </a:prstGeom>
                    <a:noFill/>
                  </pic:spPr>
                </pic:pic>
              </a:graphicData>
            </a:graphic>
          </wp:inline>
        </w:drawing>
      </w:r>
    </w:p>
    <w:p>
      <w:pPr>
        <w:pStyle w:val="3"/>
        <w:jc w:val="center"/>
        <w:rPr>
          <w:rFonts w:eastAsia="宋体"/>
          <w:b/>
          <w:lang w:eastAsia="zh-CN"/>
        </w:rPr>
      </w:pPr>
      <w:r>
        <w:rPr>
          <w:b/>
          <w:lang w:eastAsia="zh-CN"/>
        </w:rPr>
        <w:t>Figure 2: Procedure of Case B in Scenario-1</w:t>
      </w:r>
    </w:p>
    <w:p>
      <w:pPr>
        <w:overflowPunct w:val="0"/>
        <w:autoSpaceDE w:val="0"/>
        <w:autoSpaceDN w:val="0"/>
        <w:adjustRightInd w:val="0"/>
        <w:spacing w:after="120"/>
        <w:jc w:val="both"/>
        <w:textAlignment w:val="baseline"/>
        <w:rPr>
          <w:rFonts w:eastAsia="宋体"/>
          <w:lang w:eastAsia="zh-CN"/>
        </w:rPr>
      </w:pPr>
    </w:p>
    <w:p>
      <w:pPr>
        <w:pStyle w:val="98"/>
        <w:numPr>
          <w:ilvl w:val="0"/>
          <w:numId w:val="7"/>
        </w:numPr>
        <w:tabs>
          <w:tab w:val="left" w:pos="2024"/>
          <w:tab w:val="clear" w:pos="1304"/>
        </w:tabs>
        <w:spacing w:before="120" w:beforeLines="50"/>
        <w:ind w:left="1701" w:hanging="1701"/>
        <w:rPr>
          <w:rFonts w:ascii="Times New Roman" w:hAnsi="Times New Roman" w:eastAsia="宋体"/>
        </w:rPr>
      </w:pPr>
      <w:r>
        <w:rPr>
          <w:rFonts w:ascii="Times New Roman" w:hAnsi="Times New Roman" w:eastAsia="宋体"/>
        </w:rPr>
        <w:t xml:space="preserve">For direct path addition after indirect path setup </w:t>
      </w:r>
      <w:r>
        <w:rPr>
          <w:rFonts w:hint="eastAsia" w:ascii="Times New Roman" w:hAnsi="Times New Roman" w:eastAsia="宋体"/>
        </w:rPr>
        <w:t>(i.e. Case B) in Scenario</w:t>
      </w:r>
      <w:r>
        <w:rPr>
          <w:rFonts w:ascii="Times New Roman" w:hAnsi="Times New Roman" w:eastAsia="宋体"/>
        </w:rPr>
        <w:t>-</w:t>
      </w:r>
      <w:r>
        <w:rPr>
          <w:rFonts w:hint="eastAsia" w:ascii="Times New Roman" w:hAnsi="Times New Roman" w:eastAsia="宋体"/>
        </w:rPr>
        <w:t>1</w:t>
      </w:r>
      <w:r>
        <w:rPr>
          <w:rFonts w:ascii="Times New Roman" w:hAnsi="Times New Roman" w:eastAsia="宋体"/>
        </w:rPr>
        <w:t xml:space="preserve">, the existing intra-gNB I2D switch procedure can be reused </w:t>
      </w:r>
      <w:r>
        <w:rPr>
          <w:rFonts w:hint="eastAsia" w:ascii="Times New Roman" w:hAnsi="Times New Roman" w:eastAsia="宋体"/>
          <w:lang w:val="en-US"/>
        </w:rPr>
        <w:t>but skipping</w:t>
      </w:r>
      <w:r>
        <w:rPr>
          <w:rFonts w:ascii="Times New Roman" w:hAnsi="Times New Roman" w:eastAsia="宋体"/>
        </w:rPr>
        <w:t xml:space="preserve"> the step to release the indirect path after direct path addition.</w:t>
      </w:r>
    </w:p>
    <w:p>
      <w:pPr>
        <w:overflowPunct w:val="0"/>
        <w:autoSpaceDE w:val="0"/>
        <w:autoSpaceDN w:val="0"/>
        <w:adjustRightInd w:val="0"/>
        <w:spacing w:after="120"/>
        <w:jc w:val="both"/>
        <w:textAlignment w:val="baseline"/>
        <w:rPr>
          <w:lang w:val="en-GB"/>
        </w:rPr>
      </w:pPr>
      <w:r>
        <w:rPr>
          <w:rFonts w:eastAsia="等线"/>
          <w:lang w:val="en-GB" w:eastAsia="zh-CN"/>
        </w:rPr>
        <w:t>During this procedure, the gNB may reconfigure the serving cell of the newly added direct path as the PCell of the remote UE and move SRB1/2 from the indirect path to the direct path.</w:t>
      </w:r>
    </w:p>
    <w:p>
      <w:pPr>
        <w:pStyle w:val="98"/>
        <w:numPr>
          <w:ilvl w:val="0"/>
          <w:numId w:val="7"/>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For direct path addition after indirect path setup (i.e. Case B) in Scenario</w:t>
      </w:r>
      <w:r>
        <w:rPr>
          <w:rFonts w:ascii="Times New Roman" w:hAnsi="Times New Roman" w:eastAsia="宋体"/>
        </w:rPr>
        <w:t>-</w:t>
      </w:r>
      <w:r>
        <w:rPr>
          <w:rFonts w:hint="eastAsia" w:ascii="Times New Roman" w:hAnsi="Times New Roman" w:eastAsia="宋体"/>
        </w:rPr>
        <w:t xml:space="preserve">1, </w:t>
      </w:r>
      <w:r>
        <w:rPr>
          <w:rFonts w:ascii="Times New Roman" w:hAnsi="Times New Roman" w:eastAsia="宋体"/>
        </w:rPr>
        <w:t>RAN2 consider to support:</w:t>
      </w:r>
    </w:p>
    <w:p>
      <w:pPr>
        <w:pStyle w:val="98"/>
        <w:numPr>
          <w:ilvl w:val="1"/>
          <w:numId w:val="7"/>
        </w:numPr>
        <w:tabs>
          <w:tab w:val="left" w:pos="2024"/>
          <w:tab w:val="clear" w:pos="1304"/>
        </w:tabs>
        <w:spacing w:before="120" w:beforeLines="50"/>
        <w:rPr>
          <w:rFonts w:ascii="Times New Roman" w:hAnsi="Times New Roman" w:eastAsia="宋体"/>
        </w:rPr>
      </w:pPr>
      <w:r>
        <w:rPr>
          <w:rFonts w:ascii="Times New Roman" w:hAnsi="Times New Roman" w:eastAsia="宋体"/>
        </w:rPr>
        <w:t>one of the serving cells of the added direct path can be reconfigured as PCell for the remote UE;</w:t>
      </w:r>
    </w:p>
    <w:p>
      <w:pPr>
        <w:pStyle w:val="98"/>
        <w:numPr>
          <w:ilvl w:val="1"/>
          <w:numId w:val="7"/>
        </w:numPr>
        <w:tabs>
          <w:tab w:val="left" w:pos="2024"/>
          <w:tab w:val="clear" w:pos="1304"/>
        </w:tabs>
        <w:spacing w:before="120" w:beforeLines="50"/>
        <w:rPr>
          <w:rFonts w:ascii="Times New Roman" w:hAnsi="Times New Roman" w:eastAsia="宋体"/>
        </w:rPr>
      </w:pPr>
      <w:r>
        <w:rPr>
          <w:rFonts w:hint="eastAsia" w:ascii="Times New Roman" w:hAnsi="Times New Roman" w:eastAsia="宋体"/>
        </w:rPr>
        <w:t xml:space="preserve">the </w:t>
      </w:r>
      <w:r>
        <w:rPr>
          <w:rFonts w:ascii="Times New Roman" w:hAnsi="Times New Roman" w:eastAsia="宋体"/>
        </w:rPr>
        <w:t xml:space="preserve">added </w:t>
      </w:r>
      <w:r>
        <w:rPr>
          <w:rFonts w:hint="eastAsia" w:ascii="Times New Roman" w:hAnsi="Times New Roman" w:eastAsia="宋体"/>
        </w:rPr>
        <w:t xml:space="preserve">direct path can be reconfigured as </w:t>
      </w:r>
      <w:r>
        <w:rPr>
          <w:rFonts w:ascii="Times New Roman" w:hAnsi="Times New Roman" w:eastAsia="宋体"/>
        </w:rPr>
        <w:t xml:space="preserve">the </w:t>
      </w:r>
      <w:r>
        <w:rPr>
          <w:rFonts w:hint="eastAsia" w:ascii="Times New Roman" w:hAnsi="Times New Roman" w:eastAsia="宋体"/>
        </w:rPr>
        <w:t xml:space="preserve">primary path </w:t>
      </w:r>
      <w:r>
        <w:rPr>
          <w:rFonts w:hint="eastAsia" w:ascii="Times New Roman" w:hAnsi="Times New Roman" w:eastAsia="宋体"/>
          <w:lang w:val="en-US"/>
        </w:rPr>
        <w:t xml:space="preserve">at least </w:t>
      </w:r>
      <w:r>
        <w:rPr>
          <w:rFonts w:hint="eastAsia" w:ascii="Times New Roman" w:hAnsi="Times New Roman" w:eastAsia="宋体"/>
        </w:rPr>
        <w:t>for SRB1.</w:t>
      </w:r>
    </w:p>
    <w:p>
      <w:pPr>
        <w:pStyle w:val="98"/>
        <w:tabs>
          <w:tab w:val="left" w:pos="2024"/>
          <w:tab w:val="clear" w:pos="1304"/>
        </w:tabs>
        <w:rPr>
          <w:rFonts w:ascii="Times New Roman" w:hAnsi="Times New Roman" w:eastAsia="宋体"/>
          <w:lang w:val="en-US"/>
        </w:rPr>
      </w:pPr>
    </w:p>
    <w:p>
      <w:pPr>
        <w:keepNext/>
        <w:widowControl w:val="0"/>
        <w:numPr>
          <w:ilvl w:val="2"/>
          <w:numId w:val="6"/>
        </w:numPr>
        <w:tabs>
          <w:tab w:val="left" w:pos="567"/>
        </w:tabs>
        <w:spacing w:before="180" w:after="180"/>
        <w:jc w:val="both"/>
        <w:outlineLvl w:val="1"/>
        <w:rPr>
          <w:rFonts w:ascii="Arial" w:hAnsi="Arial" w:eastAsia="等线" w:cs="Arial"/>
          <w:iCs/>
          <w:sz w:val="30"/>
          <w:szCs w:val="30"/>
        </w:rPr>
      </w:pPr>
      <w:r>
        <w:rPr>
          <w:rFonts w:ascii="Arial" w:hAnsi="Arial" w:eastAsia="等线" w:cs="Arial"/>
          <w:iCs/>
          <w:sz w:val="28"/>
          <w:szCs w:val="28"/>
          <w:lang w:val="en-GB"/>
        </w:rPr>
        <w:t>Procedure</w:t>
      </w:r>
      <w:r>
        <w:rPr>
          <w:rFonts w:ascii="Arial" w:hAnsi="Arial" w:eastAsia="等线" w:cs="Arial"/>
          <w:iCs/>
          <w:sz w:val="30"/>
          <w:szCs w:val="30"/>
        </w:rPr>
        <w:t xml:space="preserve"> of Case C for Scenario-1</w:t>
      </w:r>
    </w:p>
    <w:p>
      <w:pPr>
        <w:overflowPunct w:val="0"/>
        <w:autoSpaceDE w:val="0"/>
        <w:autoSpaceDN w:val="0"/>
        <w:adjustRightInd w:val="0"/>
        <w:spacing w:after="120"/>
        <w:jc w:val="both"/>
        <w:textAlignment w:val="baseline"/>
        <w:rPr>
          <w:rFonts w:eastAsia="等线"/>
          <w:lang w:eastAsia="zh-CN"/>
        </w:rPr>
      </w:pPr>
      <w:r>
        <w:rPr>
          <w:rFonts w:hint="eastAsia" w:eastAsia="等线"/>
          <w:lang w:val="en-GB" w:eastAsia="zh-CN"/>
        </w:rPr>
        <w:t>F</w:t>
      </w:r>
      <w:r>
        <w:rPr>
          <w:rFonts w:eastAsia="等线"/>
          <w:lang w:val="en-GB" w:eastAsia="zh-CN"/>
        </w:rPr>
        <w:t xml:space="preserve">igure 3 shows the example to release the indirect path for a remote UE with multipath. Based on measurement report from the remote UE or the traffic status with respect to the remote UE, the gNB can determine to release the indirect path. The gNB sends to the remote UE the </w:t>
      </w:r>
      <w:r>
        <w:rPr>
          <w:rFonts w:eastAsia="等线"/>
          <w:i/>
          <w:lang w:val="en-GB" w:eastAsia="zh-CN"/>
        </w:rPr>
        <w:t>RRCReconfiguration</w:t>
      </w:r>
      <w:r>
        <w:rPr>
          <w:rFonts w:eastAsia="等线"/>
          <w:lang w:val="en-GB" w:eastAsia="zh-CN"/>
        </w:rPr>
        <w:t xml:space="preserve"> message, which may comprise indirect path release configurations, PCell reconfiguration is PCell is one of the serving cells of the indirect path, and possible configurations to reallocate the RBs (SRB a</w:t>
      </w:r>
      <w:r>
        <w:rPr>
          <w:rFonts w:hint="eastAsia" w:eastAsia="等线"/>
          <w:lang w:val="en-GB" w:eastAsia="zh-CN"/>
        </w:rPr>
        <w:t>n</w:t>
      </w:r>
      <w:r>
        <w:rPr>
          <w:rFonts w:eastAsia="等线"/>
          <w:lang w:val="en-GB" w:eastAsia="zh-CN"/>
        </w:rPr>
        <w:t xml:space="preserve">d DRB) from the indirect path to the direct path. The remote UE then performs the related configurations accordingly. In the meanwhile, the gNB can send </w:t>
      </w:r>
      <w:r>
        <w:rPr>
          <w:rFonts w:eastAsia="等线"/>
          <w:i/>
          <w:lang w:val="en-GB" w:eastAsia="zh-CN"/>
        </w:rPr>
        <w:t>RRCReconfiguration</w:t>
      </w:r>
      <w:r>
        <w:rPr>
          <w:rFonts w:eastAsia="等线"/>
          <w:lang w:val="en-GB" w:eastAsia="zh-CN"/>
        </w:rPr>
        <w:t xml:space="preserve"> to the relay UE to release the related configuration for the indirect path with respect to the remote UE.</w:t>
      </w:r>
      <w:r>
        <w:rPr>
          <w:rFonts w:hint="eastAsia" w:eastAsia="等线"/>
          <w:lang w:eastAsia="zh-CN"/>
        </w:rPr>
        <w:t xml:space="preserve"> </w:t>
      </w:r>
    </w:p>
    <w:p>
      <w:pPr>
        <w:overflowPunct w:val="0"/>
        <w:autoSpaceDE w:val="0"/>
        <w:autoSpaceDN w:val="0"/>
        <w:adjustRightInd w:val="0"/>
        <w:spacing w:after="120"/>
        <w:jc w:val="center"/>
        <w:textAlignment w:val="baseline"/>
        <w:rPr>
          <w:rFonts w:eastAsia="等线"/>
          <w:lang w:eastAsia="zh-CN"/>
        </w:rPr>
      </w:pPr>
      <w:r>
        <w:rPr>
          <w:rFonts w:eastAsia="等线"/>
          <w:lang w:eastAsia="zh-CN"/>
        </w:rPr>
        <w:drawing>
          <wp:inline distT="0" distB="0" distL="0" distR="0">
            <wp:extent cx="4502785" cy="1330960"/>
            <wp:effectExtent l="0" t="0" r="0" b="254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4520133" cy="1336475"/>
                    </a:xfrm>
                    <a:prstGeom prst="rect">
                      <a:avLst/>
                    </a:prstGeom>
                    <a:noFill/>
                  </pic:spPr>
                </pic:pic>
              </a:graphicData>
            </a:graphic>
          </wp:inline>
        </w:drawing>
      </w:r>
    </w:p>
    <w:p>
      <w:pPr>
        <w:overflowPunct w:val="0"/>
        <w:autoSpaceDE w:val="0"/>
        <w:autoSpaceDN w:val="0"/>
        <w:adjustRightInd w:val="0"/>
        <w:spacing w:after="120"/>
        <w:jc w:val="both"/>
        <w:textAlignment w:val="baseline"/>
        <w:rPr>
          <w:rFonts w:ascii="Arial" w:hAnsi="Arial" w:eastAsia="等线" w:cs="Arial"/>
          <w:iCs/>
          <w:sz w:val="30"/>
          <w:szCs w:val="30"/>
        </w:rPr>
      </w:pPr>
    </w:p>
    <w:p>
      <w:pPr>
        <w:overflowPunct w:val="0"/>
        <w:autoSpaceDE w:val="0"/>
        <w:autoSpaceDN w:val="0"/>
        <w:adjustRightInd w:val="0"/>
        <w:spacing w:after="120"/>
        <w:jc w:val="center"/>
        <w:textAlignment w:val="baseline"/>
        <w:rPr>
          <w:b/>
          <w:lang w:eastAsia="zh-CN"/>
        </w:rPr>
      </w:pPr>
      <w:r>
        <w:rPr>
          <w:b/>
          <w:lang w:eastAsia="zh-CN"/>
        </w:rPr>
        <w:t>Figure 3: Procedure of Case C of Scenario-1 (release indirect path)</w:t>
      </w:r>
    </w:p>
    <w:p>
      <w:pPr>
        <w:pStyle w:val="98"/>
        <w:numPr>
          <w:ilvl w:val="0"/>
          <w:numId w:val="7"/>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I</w:t>
      </w:r>
      <w:r>
        <w:rPr>
          <w:rFonts w:ascii="Times New Roman" w:hAnsi="Times New Roman" w:eastAsia="宋体"/>
        </w:rPr>
        <w:t>f the PCell is one serving cell of the indirect path to be released for the remote UE with multipath (i.e. Case C) in Scenario-1, one of the serving cells of the direct path should be reconfigured as the PCell for the remote UE during the procedure.</w:t>
      </w:r>
    </w:p>
    <w:p>
      <w:pPr>
        <w:pStyle w:val="98"/>
        <w:numPr>
          <w:ilvl w:val="0"/>
          <w:numId w:val="7"/>
        </w:numPr>
        <w:tabs>
          <w:tab w:val="left" w:pos="2024"/>
          <w:tab w:val="clear" w:pos="1304"/>
        </w:tabs>
        <w:spacing w:before="120" w:beforeLines="50"/>
        <w:ind w:left="1701" w:hanging="1701"/>
        <w:rPr>
          <w:rFonts w:ascii="Times New Roman" w:hAnsi="Times New Roman" w:eastAsia="宋体"/>
        </w:rPr>
      </w:pPr>
      <w:r>
        <w:rPr>
          <w:rFonts w:ascii="Times New Roman" w:hAnsi="Times New Roman" w:eastAsia="宋体"/>
        </w:rPr>
        <w:t xml:space="preserve">If SRB1/SRB2 are only </w:t>
      </w:r>
      <w:r>
        <w:rPr>
          <w:rFonts w:hint="eastAsia" w:ascii="Times New Roman" w:hAnsi="Times New Roman" w:eastAsia="宋体"/>
          <w:lang w:val="en-US"/>
        </w:rPr>
        <w:t>on</w:t>
      </w:r>
      <w:r>
        <w:rPr>
          <w:rFonts w:ascii="Times New Roman" w:hAnsi="Times New Roman" w:eastAsia="宋体"/>
        </w:rPr>
        <w:t xml:space="preserve"> the indirect path to be released for the remote UE with multipath (i.e. Case C) in Scenario-1, SRB1/SRB2 should be </w:t>
      </w:r>
      <w:r>
        <w:rPr>
          <w:rFonts w:hint="eastAsia" w:ascii="Times New Roman" w:hAnsi="Times New Roman" w:eastAsia="宋体"/>
          <w:lang w:val="en-US"/>
        </w:rPr>
        <w:t>reconfigured</w:t>
      </w:r>
      <w:r>
        <w:rPr>
          <w:rFonts w:ascii="Times New Roman" w:hAnsi="Times New Roman" w:eastAsia="宋体"/>
        </w:rPr>
        <w:t xml:space="preserve"> to the direct path during the procedure.</w:t>
      </w:r>
    </w:p>
    <w:p>
      <w:pPr>
        <w:keepNext/>
        <w:widowControl w:val="0"/>
        <w:numPr>
          <w:ilvl w:val="2"/>
          <w:numId w:val="6"/>
        </w:numPr>
        <w:tabs>
          <w:tab w:val="left" w:pos="567"/>
        </w:tabs>
        <w:spacing w:before="180" w:after="180"/>
        <w:jc w:val="both"/>
        <w:outlineLvl w:val="1"/>
        <w:rPr>
          <w:rFonts w:ascii="Arial" w:hAnsi="Arial" w:eastAsia="等线" w:cs="Arial"/>
          <w:iCs/>
          <w:sz w:val="30"/>
          <w:szCs w:val="30"/>
        </w:rPr>
      </w:pPr>
      <w:r>
        <w:rPr>
          <w:rFonts w:ascii="Arial" w:hAnsi="Arial" w:eastAsia="等线" w:cs="Arial"/>
          <w:iCs/>
          <w:sz w:val="28"/>
          <w:szCs w:val="28"/>
          <w:lang w:val="en-GB"/>
        </w:rPr>
        <w:t>Procedure</w:t>
      </w:r>
      <w:r>
        <w:rPr>
          <w:rFonts w:ascii="Arial" w:hAnsi="Arial" w:eastAsia="等线" w:cs="Arial"/>
          <w:iCs/>
          <w:sz w:val="30"/>
          <w:szCs w:val="30"/>
        </w:rPr>
        <w:t xml:space="preserve"> of Case D for Scenario-1</w:t>
      </w:r>
    </w:p>
    <w:p>
      <w:pPr>
        <w:overflowPunct w:val="0"/>
        <w:autoSpaceDE w:val="0"/>
        <w:autoSpaceDN w:val="0"/>
        <w:adjustRightInd w:val="0"/>
        <w:spacing w:after="120"/>
        <w:jc w:val="both"/>
        <w:textAlignment w:val="baseline"/>
        <w:rPr>
          <w:rFonts w:eastAsia="等线"/>
          <w:lang w:val="en-GB"/>
        </w:rPr>
      </w:pPr>
      <w:r>
        <w:rPr>
          <w:rFonts w:eastAsia="等线"/>
          <w:lang w:val="en-GB" w:eastAsia="zh-CN"/>
        </w:rPr>
        <w:t>The example procedure to release the direct path for a remote UE with multi-path is illustrated in Figure 4. According the measurement report from the remote UE and/or the traffic status of the remote UE, the gNB can determine to release the direct path while keep the indirect path. The gNB sends to the remote UE the RRCReconfiguration messages comprising direct path release signalling, possible signalling for RB reallocation from the direct path to the indirect path and possible signalling for the PCell change (if the PCell is the serving cell of the direct link). The remote UE executes the configurations to release the direct path accordingly upon reception of the signalling. In the meanwhile, the gNB may send to the relay UE the associated reconfiguration signalling for reallocating the RB from the direct path to the indirect path.</w:t>
      </w:r>
    </w:p>
    <w:p>
      <w:pPr>
        <w:overflowPunct w:val="0"/>
        <w:autoSpaceDE w:val="0"/>
        <w:autoSpaceDN w:val="0"/>
        <w:adjustRightInd w:val="0"/>
        <w:spacing w:after="120"/>
        <w:jc w:val="center"/>
        <w:textAlignment w:val="baseline"/>
        <w:rPr>
          <w:rFonts w:ascii="Arial" w:hAnsi="Arial" w:eastAsia="等线" w:cs="Arial"/>
          <w:iCs/>
          <w:sz w:val="30"/>
          <w:szCs w:val="30"/>
        </w:rPr>
      </w:pPr>
      <w:r>
        <w:rPr>
          <w:rFonts w:ascii="Arial" w:hAnsi="Arial" w:eastAsia="等线" w:cs="Arial"/>
          <w:iCs/>
          <w:sz w:val="30"/>
          <w:szCs w:val="30"/>
        </w:rPr>
        <w:drawing>
          <wp:inline distT="0" distB="0" distL="0" distR="0">
            <wp:extent cx="5200015" cy="1453515"/>
            <wp:effectExtent l="0" t="0" r="63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26138" cy="1461328"/>
                    </a:xfrm>
                    <a:prstGeom prst="rect">
                      <a:avLst/>
                    </a:prstGeom>
                    <a:noFill/>
                  </pic:spPr>
                </pic:pic>
              </a:graphicData>
            </a:graphic>
          </wp:inline>
        </w:drawing>
      </w:r>
    </w:p>
    <w:p>
      <w:pPr>
        <w:overflowPunct w:val="0"/>
        <w:autoSpaceDE w:val="0"/>
        <w:autoSpaceDN w:val="0"/>
        <w:adjustRightInd w:val="0"/>
        <w:spacing w:after="120"/>
        <w:jc w:val="center"/>
        <w:textAlignment w:val="baseline"/>
        <w:rPr>
          <w:b/>
          <w:lang w:eastAsia="zh-CN"/>
        </w:rPr>
      </w:pPr>
      <w:r>
        <w:rPr>
          <w:b/>
          <w:lang w:eastAsia="zh-CN"/>
        </w:rPr>
        <w:t>Figure 4: Procedure of Case D of Scenario-1 (release direct path)</w:t>
      </w:r>
    </w:p>
    <w:p>
      <w:pPr>
        <w:pStyle w:val="98"/>
        <w:numPr>
          <w:ilvl w:val="0"/>
          <w:numId w:val="7"/>
        </w:numPr>
        <w:tabs>
          <w:tab w:val="left" w:pos="2024"/>
          <w:tab w:val="clear" w:pos="1304"/>
        </w:tabs>
        <w:spacing w:before="120" w:beforeLines="50"/>
        <w:ind w:left="1701" w:hanging="1701"/>
        <w:rPr>
          <w:rFonts w:ascii="Times New Roman" w:hAnsi="Times New Roman" w:eastAsia="宋体"/>
        </w:rPr>
      </w:pPr>
      <w:r>
        <w:rPr>
          <w:rFonts w:ascii="Times New Roman" w:hAnsi="Times New Roman" w:eastAsia="宋体"/>
        </w:rPr>
        <w:t>If the PCell is one of the serving cells of the direct path to be released (i.e. Case D) in Scenario-1, one of the serving cells of the indirect path should be reconfigured as PCell for the remote UE during the procedure.</w:t>
      </w:r>
    </w:p>
    <w:p>
      <w:pPr>
        <w:pStyle w:val="98"/>
        <w:numPr>
          <w:ilvl w:val="0"/>
          <w:numId w:val="7"/>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I</w:t>
      </w:r>
      <w:r>
        <w:rPr>
          <w:rFonts w:ascii="Times New Roman" w:hAnsi="Times New Roman" w:eastAsia="宋体"/>
        </w:rPr>
        <w:t xml:space="preserve">f SRB1/SRB2 are only </w:t>
      </w:r>
      <w:r>
        <w:rPr>
          <w:rFonts w:hint="eastAsia" w:ascii="Times New Roman" w:hAnsi="Times New Roman" w:eastAsia="宋体"/>
          <w:lang w:val="en-US"/>
        </w:rPr>
        <w:t>on</w:t>
      </w:r>
      <w:r>
        <w:rPr>
          <w:rFonts w:ascii="Times New Roman" w:hAnsi="Times New Roman" w:eastAsia="宋体"/>
        </w:rPr>
        <w:t xml:space="preserve"> the direct path to be released (i.e. Case D) in Scenario-1, SRB1/SRB2 should be </w:t>
      </w:r>
      <w:r>
        <w:rPr>
          <w:rFonts w:hint="eastAsia" w:ascii="Times New Roman" w:hAnsi="Times New Roman" w:eastAsia="宋体"/>
          <w:lang w:val="en-US"/>
        </w:rPr>
        <w:t>reconfigured</w:t>
      </w:r>
      <w:r>
        <w:rPr>
          <w:rFonts w:ascii="Times New Roman" w:hAnsi="Times New Roman" w:eastAsia="宋体"/>
        </w:rPr>
        <w:t xml:space="preserve"> to the indirect path during the procedure</w:t>
      </w:r>
      <w:r>
        <w:rPr>
          <w:rFonts w:hint="eastAsia" w:ascii="Times New Roman" w:hAnsi="Times New Roman" w:eastAsia="宋体"/>
          <w:lang w:val="en-US"/>
        </w:rPr>
        <w:t>.</w:t>
      </w:r>
    </w:p>
    <w:p>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As one of the motivations to introduce multi-path is to support high reliability service data transmission, it is natural that the data transmission reliability during the direct/indirect path release procedure should be ensured. To avoid data loss due to the indirect/indirect path release, we propose:</w:t>
      </w:r>
    </w:p>
    <w:p>
      <w:pPr>
        <w:pStyle w:val="98"/>
        <w:numPr>
          <w:ilvl w:val="0"/>
          <w:numId w:val="7"/>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For path release cases (</w:t>
      </w:r>
      <w:r>
        <w:rPr>
          <w:rFonts w:ascii="Times New Roman" w:hAnsi="Times New Roman" w:eastAsia="宋体"/>
        </w:rPr>
        <w:t xml:space="preserve">i.e. </w:t>
      </w:r>
      <w:r>
        <w:rPr>
          <w:rFonts w:hint="eastAsia" w:ascii="Times New Roman" w:hAnsi="Times New Roman" w:eastAsia="宋体"/>
        </w:rPr>
        <w:t xml:space="preserve">Case C &amp; D) of </w:t>
      </w:r>
      <w:r>
        <w:rPr>
          <w:rFonts w:ascii="Times New Roman" w:hAnsi="Times New Roman" w:eastAsia="宋体"/>
        </w:rPr>
        <w:t>Scenario-1</w:t>
      </w:r>
      <w:r>
        <w:rPr>
          <w:rFonts w:hint="eastAsia" w:ascii="Times New Roman" w:hAnsi="Times New Roman" w:eastAsia="宋体"/>
        </w:rPr>
        <w:t xml:space="preserve">, PDCP data recovery </w:t>
      </w:r>
      <w:r>
        <w:rPr>
          <w:rFonts w:ascii="Times New Roman" w:hAnsi="Times New Roman" w:eastAsia="宋体"/>
        </w:rPr>
        <w:t>can be configured</w:t>
      </w:r>
      <w:r>
        <w:rPr>
          <w:rFonts w:hint="eastAsia" w:ascii="Times New Roman" w:hAnsi="Times New Roman" w:eastAsia="宋体"/>
        </w:rPr>
        <w:t xml:space="preserve"> for</w:t>
      </w:r>
      <w:r>
        <w:rPr>
          <w:rFonts w:ascii="Times New Roman" w:hAnsi="Times New Roman" w:eastAsia="宋体"/>
        </w:rPr>
        <w:t xml:space="preserve"> the</w:t>
      </w:r>
      <w:r>
        <w:rPr>
          <w:rFonts w:hint="eastAsia" w:ascii="Times New Roman" w:hAnsi="Times New Roman" w:eastAsia="宋体"/>
        </w:rPr>
        <w:t xml:space="preserve"> remote UE</w:t>
      </w:r>
      <w:r>
        <w:rPr>
          <w:rFonts w:ascii="Times New Roman" w:hAnsi="Times New Roman" w:eastAsia="宋体"/>
        </w:rPr>
        <w:t>’s</w:t>
      </w:r>
      <w:r>
        <w:rPr>
          <w:rFonts w:hint="eastAsia" w:ascii="Times New Roman" w:hAnsi="Times New Roman" w:eastAsia="宋体"/>
        </w:rPr>
        <w:t xml:space="preserve"> AM DRBs.</w:t>
      </w:r>
    </w:p>
    <w:p>
      <w:pPr>
        <w:spacing w:before="120" w:beforeLines="50"/>
        <w:jc w:val="both"/>
        <w:rPr>
          <w:rFonts w:ascii="Arial" w:hAnsi="Arial" w:eastAsia="等线" w:cs="Arial"/>
          <w:iCs/>
          <w:sz w:val="32"/>
          <w:szCs w:val="32"/>
          <w:lang w:val="en-GB" w:eastAsia="zh-CN"/>
        </w:rPr>
      </w:pPr>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28"/>
          <w:szCs w:val="28"/>
          <w:lang w:val="en-GB"/>
        </w:rPr>
        <w:t>Procedure of Case A for Scenario-2</w:t>
      </w:r>
    </w:p>
    <w:p>
      <w:pPr>
        <w:overflowPunct w:val="0"/>
        <w:autoSpaceDE w:val="0"/>
        <w:autoSpaceDN w:val="0"/>
        <w:adjustRightInd w:val="0"/>
        <w:spacing w:after="120"/>
        <w:jc w:val="both"/>
        <w:textAlignment w:val="baseline"/>
        <w:rPr>
          <w:rFonts w:eastAsia="等线"/>
          <w:lang w:val="en-GB" w:eastAsia="zh-CN"/>
        </w:rPr>
      </w:pPr>
      <w:r>
        <w:rPr>
          <w:rFonts w:eastAsia="等线"/>
          <w:lang w:val="en-GB" w:eastAsia="zh-CN"/>
        </w:rPr>
        <w:t xml:space="preserve">The procedure of Case A for Scenario-2 can be derived by excluding PC5 related steps (e.g. relay measurement, relay measurement results report and PC5 link setup procedure) from the Case A procedure for Scenario-1.  As the inter-UE link in Scenario-2 is regarded as ideal link and there is no measurement for candidate relay UE, the gNB cannot rely on the measurement results of the relay UE to determine whether to add the indirect path. The gNB can rely on the inter-UE association report or secondary path request to determine whether to add indirect path for the remote UE. The example flow chart is illustrated in Figure 5.  </w:t>
      </w:r>
    </w:p>
    <w:p>
      <w:pPr>
        <w:overflowPunct w:val="0"/>
        <w:autoSpaceDE w:val="0"/>
        <w:autoSpaceDN w:val="0"/>
        <w:adjustRightInd w:val="0"/>
        <w:spacing w:after="120"/>
        <w:jc w:val="center"/>
        <w:textAlignment w:val="baseline"/>
        <w:rPr>
          <w:rFonts w:eastAsia="等线"/>
          <w:lang w:val="en-GB" w:eastAsia="zh-CN"/>
        </w:rPr>
      </w:pPr>
      <w:r>
        <w:rPr>
          <w:rFonts w:eastAsia="等线"/>
          <w:lang w:val="en-GB" w:eastAsia="zh-CN"/>
        </w:rPr>
        <w:drawing>
          <wp:inline distT="0" distB="0" distL="0" distR="0">
            <wp:extent cx="5138420" cy="1816100"/>
            <wp:effectExtent l="0" t="0" r="508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167851" cy="1827119"/>
                    </a:xfrm>
                    <a:prstGeom prst="rect">
                      <a:avLst/>
                    </a:prstGeom>
                    <a:noFill/>
                  </pic:spPr>
                </pic:pic>
              </a:graphicData>
            </a:graphic>
          </wp:inline>
        </w:drawing>
      </w:r>
    </w:p>
    <w:p>
      <w:pPr>
        <w:overflowPunct w:val="0"/>
        <w:autoSpaceDE w:val="0"/>
        <w:autoSpaceDN w:val="0"/>
        <w:adjustRightInd w:val="0"/>
        <w:spacing w:after="120"/>
        <w:jc w:val="center"/>
        <w:textAlignment w:val="baseline"/>
        <w:rPr>
          <w:b/>
          <w:lang w:eastAsia="zh-CN"/>
        </w:rPr>
      </w:pPr>
      <w:r>
        <w:rPr>
          <w:b/>
          <w:lang w:eastAsia="zh-CN"/>
        </w:rPr>
        <w:t>Figure 5: Procedure of Case A of Scenario-2 (add indirect path)</w:t>
      </w:r>
    </w:p>
    <w:p>
      <w:pPr>
        <w:pStyle w:val="98"/>
        <w:numPr>
          <w:ilvl w:val="0"/>
          <w:numId w:val="7"/>
        </w:numPr>
        <w:tabs>
          <w:tab w:val="left" w:pos="2024"/>
          <w:tab w:val="clear" w:pos="1304"/>
        </w:tabs>
        <w:spacing w:before="120" w:beforeLines="50"/>
        <w:ind w:left="1701" w:hanging="1701"/>
        <w:rPr>
          <w:rFonts w:ascii="Times New Roman" w:hAnsi="Times New Roman" w:eastAsia="宋体"/>
        </w:rPr>
      </w:pPr>
      <w:r>
        <w:rPr>
          <w:rFonts w:ascii="Times New Roman" w:hAnsi="Times New Roman" w:eastAsia="宋体"/>
        </w:rPr>
        <w:t xml:space="preserve">For adding indirect path after direct path setup (i.e. Case A) in Scenario-2, the </w:t>
      </w:r>
      <w:r>
        <w:rPr>
          <w:rFonts w:hint="eastAsia" w:ascii="Times New Roman" w:hAnsi="Times New Roman" w:eastAsia="宋体"/>
        </w:rPr>
        <w:t>remote</w:t>
      </w:r>
      <w:r>
        <w:rPr>
          <w:rFonts w:ascii="Times New Roman" w:hAnsi="Times New Roman" w:eastAsia="宋体"/>
        </w:rPr>
        <w:t xml:space="preserve"> UE should send </w:t>
      </w:r>
      <w:r>
        <w:rPr>
          <w:rFonts w:hint="eastAsia" w:ascii="Times New Roman" w:hAnsi="Times New Roman" w:eastAsia="宋体"/>
        </w:rPr>
        <w:t>the</w:t>
      </w:r>
      <w:r>
        <w:rPr>
          <w:rFonts w:ascii="Times New Roman" w:hAnsi="Times New Roman" w:eastAsia="宋体"/>
        </w:rPr>
        <w:t xml:space="preserve"> inter-UE association information or indirect path request to the gNB.</w:t>
      </w:r>
    </w:p>
    <w:p>
      <w:pPr>
        <w:pStyle w:val="98"/>
        <w:numPr>
          <w:ilvl w:val="0"/>
          <w:numId w:val="7"/>
        </w:numPr>
        <w:tabs>
          <w:tab w:val="left" w:pos="2024"/>
          <w:tab w:val="clear" w:pos="1304"/>
        </w:tabs>
        <w:spacing w:before="120" w:beforeLines="50"/>
        <w:ind w:left="1701" w:hanging="1701"/>
        <w:rPr>
          <w:rFonts w:ascii="Times New Roman" w:hAnsi="Times New Roman" w:eastAsia="宋体"/>
        </w:rPr>
      </w:pPr>
      <w:r>
        <w:rPr>
          <w:rFonts w:ascii="Times New Roman" w:hAnsi="Times New Roman" w:eastAsia="宋体"/>
        </w:rPr>
        <w:t>T</w:t>
      </w:r>
      <w:r>
        <w:rPr>
          <w:rFonts w:hint="eastAsia" w:ascii="Times New Roman" w:hAnsi="Times New Roman" w:eastAsia="宋体"/>
        </w:rPr>
        <w:t>he</w:t>
      </w:r>
      <w:r>
        <w:rPr>
          <w:rFonts w:ascii="Times New Roman" w:hAnsi="Times New Roman" w:eastAsia="宋体"/>
        </w:rPr>
        <w:t xml:space="preserve"> inter-UE association information or indirect path request can comprise </w:t>
      </w:r>
      <w:r>
        <w:rPr>
          <w:rFonts w:hint="eastAsia" w:ascii="Times New Roman" w:hAnsi="Times New Roman" w:eastAsia="宋体"/>
          <w:lang w:val="en-US"/>
        </w:rPr>
        <w:t xml:space="preserve">of </w:t>
      </w:r>
      <w:r>
        <w:rPr>
          <w:rFonts w:ascii="Times New Roman" w:hAnsi="Times New Roman" w:eastAsia="宋体"/>
        </w:rPr>
        <w:t xml:space="preserve">the </w:t>
      </w:r>
      <w:r>
        <w:rPr>
          <w:rFonts w:hint="eastAsia" w:ascii="Times New Roman" w:hAnsi="Times New Roman" w:eastAsia="宋体"/>
        </w:rPr>
        <w:t>C-</w:t>
      </w:r>
      <w:r>
        <w:rPr>
          <w:rFonts w:ascii="Times New Roman" w:hAnsi="Times New Roman" w:eastAsia="宋体"/>
        </w:rPr>
        <w:t>RNTI of the relay UE and the serving Cell ID of relay UE.</w:t>
      </w:r>
    </w:p>
    <w:p>
      <w:pPr>
        <w:keepNext/>
        <w:widowControl w:val="0"/>
        <w:numPr>
          <w:ilvl w:val="2"/>
          <w:numId w:val="6"/>
        </w:numPr>
        <w:spacing w:before="180" w:after="180"/>
        <w:jc w:val="both"/>
        <w:outlineLvl w:val="1"/>
        <w:rPr>
          <w:rFonts w:ascii="Arial" w:hAnsi="Arial" w:eastAsia="等线" w:cs="Arial"/>
          <w:iCs/>
          <w:sz w:val="32"/>
          <w:szCs w:val="32"/>
          <w:lang w:eastAsia="zh-CN"/>
        </w:rPr>
      </w:pPr>
      <w:r>
        <w:rPr>
          <w:rFonts w:ascii="Arial" w:hAnsi="Arial" w:eastAsia="等线" w:cs="Arial"/>
          <w:iCs/>
          <w:sz w:val="28"/>
          <w:szCs w:val="28"/>
          <w:lang w:val="en-GB"/>
        </w:rPr>
        <w:t>Procedure of Case C for Scenario-2</w:t>
      </w:r>
    </w:p>
    <w:p>
      <w:pPr>
        <w:spacing w:before="120" w:beforeLines="50"/>
        <w:jc w:val="both"/>
        <w:rPr>
          <w:rFonts w:eastAsiaTheme="minorEastAsia"/>
          <w:szCs w:val="20"/>
          <w:lang w:eastAsia="zh-CN"/>
        </w:rPr>
      </w:pPr>
      <w:r>
        <w:rPr>
          <w:rFonts w:eastAsiaTheme="minorEastAsia"/>
          <w:szCs w:val="20"/>
          <w:lang w:eastAsia="zh-CN"/>
        </w:rPr>
        <w:t>Similar to Case C in Scenario-1, it is important to ensure the lossless data transmission during the indirect path releasing procedure.</w:t>
      </w:r>
    </w:p>
    <w:p>
      <w:pPr>
        <w:pStyle w:val="98"/>
        <w:numPr>
          <w:ilvl w:val="0"/>
          <w:numId w:val="7"/>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 xml:space="preserve">For </w:t>
      </w:r>
      <w:r>
        <w:rPr>
          <w:rFonts w:ascii="Times New Roman" w:hAnsi="Times New Roman" w:eastAsia="宋体"/>
        </w:rPr>
        <w:t xml:space="preserve">indirect </w:t>
      </w:r>
      <w:r>
        <w:rPr>
          <w:rFonts w:hint="eastAsia" w:ascii="Times New Roman" w:hAnsi="Times New Roman" w:eastAsia="宋体"/>
        </w:rPr>
        <w:t>path release case (</w:t>
      </w:r>
      <w:r>
        <w:rPr>
          <w:rFonts w:ascii="Times New Roman" w:hAnsi="Times New Roman" w:eastAsia="宋体"/>
        </w:rPr>
        <w:t xml:space="preserve">i.e. </w:t>
      </w:r>
      <w:r>
        <w:rPr>
          <w:rFonts w:hint="eastAsia" w:ascii="Times New Roman" w:hAnsi="Times New Roman" w:eastAsia="宋体"/>
        </w:rPr>
        <w:t xml:space="preserve">Case C) of </w:t>
      </w:r>
      <w:r>
        <w:rPr>
          <w:rFonts w:ascii="Times New Roman" w:hAnsi="Times New Roman" w:eastAsia="宋体"/>
        </w:rPr>
        <w:t>Scenario-2</w:t>
      </w:r>
      <w:r>
        <w:rPr>
          <w:rFonts w:hint="eastAsia" w:ascii="Times New Roman" w:hAnsi="Times New Roman" w:eastAsia="宋体"/>
        </w:rPr>
        <w:t xml:space="preserve">, PDCP data recovery </w:t>
      </w:r>
      <w:r>
        <w:rPr>
          <w:rFonts w:ascii="Times New Roman" w:hAnsi="Times New Roman" w:eastAsia="宋体"/>
        </w:rPr>
        <w:t>can be configured</w:t>
      </w:r>
      <w:r>
        <w:rPr>
          <w:rFonts w:hint="eastAsia" w:ascii="Times New Roman" w:hAnsi="Times New Roman" w:eastAsia="宋体"/>
        </w:rPr>
        <w:t xml:space="preserve"> for </w:t>
      </w:r>
      <w:r>
        <w:rPr>
          <w:rFonts w:ascii="Times New Roman" w:hAnsi="Times New Roman" w:eastAsia="宋体"/>
        </w:rPr>
        <w:t xml:space="preserve">the </w:t>
      </w:r>
      <w:r>
        <w:rPr>
          <w:rFonts w:hint="eastAsia" w:ascii="Times New Roman" w:hAnsi="Times New Roman" w:eastAsia="宋体"/>
        </w:rPr>
        <w:t>remote UE</w:t>
      </w:r>
      <w:r>
        <w:rPr>
          <w:rFonts w:ascii="Times New Roman" w:hAnsi="Times New Roman" w:eastAsia="宋体"/>
        </w:rPr>
        <w:t>’s</w:t>
      </w:r>
      <w:r>
        <w:rPr>
          <w:rFonts w:hint="eastAsia" w:ascii="Times New Roman" w:hAnsi="Times New Roman" w:eastAsia="宋体"/>
        </w:rPr>
        <w:t xml:space="preserve"> AM DRBs.</w:t>
      </w:r>
    </w:p>
    <w:p>
      <w:pPr>
        <w:spacing w:before="120" w:beforeLines="50"/>
        <w:jc w:val="both"/>
        <w:rPr>
          <w:rFonts w:eastAsiaTheme="minorEastAsia"/>
          <w:szCs w:val="20"/>
          <w:lang w:val="en-GB" w:eastAsia="zh-CN"/>
        </w:rPr>
      </w:pP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hint="eastAsia" w:eastAsia="MS Mincho" w:cs="Times New Roman"/>
          <w:b w:val="0"/>
          <w:bCs w:val="0"/>
          <w:kern w:val="0"/>
          <w:sz w:val="36"/>
          <w:szCs w:val="20"/>
          <w:lang w:val="en-GB" w:eastAsia="ja-JP"/>
        </w:rPr>
        <w:t>Conclusion</w:t>
      </w:r>
    </w:p>
    <w:bookmarkEnd w:id="0"/>
    <w:bookmarkEnd w:id="1"/>
    <w:p>
      <w:pPr>
        <w:pStyle w:val="3"/>
        <w:rPr>
          <w:rFonts w:eastAsia="宋体"/>
          <w:b/>
          <w:lang w:val="en-GB" w:eastAsia="zh-CN"/>
        </w:rPr>
      </w:pPr>
      <w:r>
        <w:rPr>
          <w:rFonts w:eastAsia="宋体"/>
          <w:lang w:val="en-GB" w:eastAsia="zh-CN"/>
        </w:rPr>
        <w:t xml:space="preserve">In this paper, </w:t>
      </w:r>
      <w:r>
        <w:rPr>
          <w:szCs w:val="20"/>
        </w:rPr>
        <w:t xml:space="preserve">we further discuss supporting cases and detailed procedures for Multi-path scenario-1 and scenario-2 and </w:t>
      </w:r>
      <w:r>
        <w:rPr>
          <w:rFonts w:eastAsia="宋体"/>
          <w:lang w:val="en-GB" w:eastAsia="zh-CN"/>
        </w:rPr>
        <w:t>the following proposals are given:</w:t>
      </w:r>
    </w:p>
    <w:p>
      <w:pPr>
        <w:pStyle w:val="98"/>
        <w:numPr>
          <w:ilvl w:val="0"/>
          <w:numId w:val="9"/>
        </w:numPr>
        <w:tabs>
          <w:tab w:val="left" w:pos="2024"/>
          <w:tab w:val="clear" w:pos="1304"/>
        </w:tabs>
        <w:spacing w:before="120" w:beforeLines="50"/>
        <w:ind w:left="1701" w:hanging="1701"/>
        <w:rPr>
          <w:rFonts w:ascii="Times New Roman" w:hAnsi="Times New Roman" w:eastAsia="宋体"/>
        </w:rPr>
      </w:pPr>
      <w:r>
        <w:rPr>
          <w:rFonts w:ascii="Times New Roman" w:hAnsi="Times New Roman" w:eastAsia="宋体"/>
        </w:rPr>
        <w:t>For Scenario-1, Case G is supported via separate release-and-add (A+C in separate reconfigurations) as baseline in Rel-18. Whether/how to support via a single switch procedure (e.g. similar to i2i service continuity) is left to the WI phase.</w:t>
      </w:r>
    </w:p>
    <w:p>
      <w:pPr>
        <w:pStyle w:val="98"/>
        <w:numPr>
          <w:ilvl w:val="0"/>
          <w:numId w:val="9"/>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F</w:t>
      </w:r>
      <w:r>
        <w:rPr>
          <w:rFonts w:ascii="Times New Roman" w:hAnsi="Times New Roman" w:eastAsia="宋体"/>
        </w:rPr>
        <w:t xml:space="preserve">or </w:t>
      </w:r>
      <w:r>
        <w:rPr>
          <w:rFonts w:hint="eastAsia" w:ascii="Times New Roman" w:hAnsi="Times New Roman" w:eastAsia="宋体"/>
        </w:rPr>
        <w:t>S</w:t>
      </w:r>
      <w:r>
        <w:rPr>
          <w:rFonts w:ascii="Times New Roman" w:hAnsi="Times New Roman" w:eastAsia="宋体"/>
        </w:rPr>
        <w:t>cenario-1</w:t>
      </w:r>
      <w:r>
        <w:rPr>
          <w:rFonts w:hint="eastAsia" w:ascii="Times New Roman" w:hAnsi="Times New Roman" w:eastAsia="宋体"/>
        </w:rPr>
        <w:t>, Case E</w:t>
      </w:r>
      <w:r>
        <w:rPr>
          <w:rFonts w:ascii="Times New Roman" w:hAnsi="Times New Roman" w:eastAsia="宋体"/>
        </w:rPr>
        <w:t xml:space="preserve"> is</w:t>
      </w:r>
      <w:r>
        <w:rPr>
          <w:rFonts w:hint="eastAsia" w:ascii="Times New Roman" w:hAnsi="Times New Roman" w:eastAsia="宋体"/>
        </w:rPr>
        <w:t xml:space="preserve"> supported </w:t>
      </w:r>
      <w:r>
        <w:rPr>
          <w:rFonts w:ascii="Times New Roman" w:hAnsi="Times New Roman" w:eastAsia="宋体"/>
        </w:rPr>
        <w:t>via separate release-and-add (B+D in separate reconfigurations)</w:t>
      </w:r>
      <w:r>
        <w:rPr>
          <w:rFonts w:hint="eastAsia" w:ascii="Times New Roman" w:hAnsi="Times New Roman" w:eastAsia="宋体"/>
        </w:rPr>
        <w:t xml:space="preserve"> as baseline in Rel-18. Whether/how to support Case E via a single switch procedure</w:t>
      </w:r>
      <w:r>
        <w:rPr>
          <w:rFonts w:ascii="Times New Roman" w:hAnsi="Times New Roman" w:eastAsia="宋体"/>
        </w:rPr>
        <w:t xml:space="preserve"> </w:t>
      </w:r>
      <w:r>
        <w:rPr>
          <w:rFonts w:hint="eastAsia" w:ascii="Times New Roman" w:hAnsi="Times New Roman" w:eastAsia="宋体"/>
        </w:rPr>
        <w:t xml:space="preserve">is left to </w:t>
      </w:r>
      <w:r>
        <w:rPr>
          <w:rFonts w:ascii="Times New Roman" w:hAnsi="Times New Roman" w:eastAsia="宋体"/>
        </w:rPr>
        <w:t xml:space="preserve">the </w:t>
      </w:r>
      <w:r>
        <w:rPr>
          <w:rFonts w:hint="eastAsia" w:ascii="Times New Roman" w:hAnsi="Times New Roman" w:eastAsia="宋体"/>
        </w:rPr>
        <w:t>WI phase.</w:t>
      </w:r>
    </w:p>
    <w:p>
      <w:pPr>
        <w:pStyle w:val="98"/>
        <w:numPr>
          <w:ilvl w:val="0"/>
          <w:numId w:val="9"/>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F</w:t>
      </w:r>
      <w:r>
        <w:rPr>
          <w:rFonts w:ascii="Times New Roman" w:hAnsi="Times New Roman" w:eastAsia="宋体"/>
        </w:rPr>
        <w:t xml:space="preserve">or </w:t>
      </w:r>
      <w:r>
        <w:rPr>
          <w:rFonts w:hint="eastAsia" w:ascii="Times New Roman" w:hAnsi="Times New Roman" w:eastAsia="宋体"/>
        </w:rPr>
        <w:t>S</w:t>
      </w:r>
      <w:r>
        <w:rPr>
          <w:rFonts w:ascii="Times New Roman" w:hAnsi="Times New Roman" w:eastAsia="宋体"/>
        </w:rPr>
        <w:t>cenario-2</w:t>
      </w:r>
      <w:r>
        <w:rPr>
          <w:rFonts w:hint="eastAsia" w:ascii="Times New Roman" w:hAnsi="Times New Roman" w:eastAsia="宋体"/>
        </w:rPr>
        <w:t xml:space="preserve">, </w:t>
      </w:r>
      <w:r>
        <w:rPr>
          <w:rFonts w:ascii="Times New Roman" w:hAnsi="Times New Roman" w:eastAsia="宋体"/>
        </w:rPr>
        <w:t xml:space="preserve">whether/how to support </w:t>
      </w:r>
      <w:r>
        <w:rPr>
          <w:rFonts w:hint="eastAsia" w:ascii="Times New Roman" w:hAnsi="Times New Roman" w:eastAsia="宋体"/>
          <w:lang w:val="en-US"/>
        </w:rPr>
        <w:t>C</w:t>
      </w:r>
      <w:r>
        <w:rPr>
          <w:rFonts w:hint="eastAsia" w:ascii="Times New Roman" w:hAnsi="Times New Roman" w:eastAsia="宋体"/>
        </w:rPr>
        <w:t xml:space="preserve">ase </w:t>
      </w:r>
      <w:r>
        <w:rPr>
          <w:rFonts w:ascii="Times New Roman" w:hAnsi="Times New Roman" w:eastAsia="宋体"/>
        </w:rPr>
        <w:t>B &amp; D can be left to WI phase</w:t>
      </w:r>
      <w:r>
        <w:rPr>
          <w:rFonts w:hint="eastAsia" w:ascii="Times New Roman" w:hAnsi="Times New Roman" w:eastAsia="宋体"/>
        </w:rPr>
        <w:t>.</w:t>
      </w:r>
    </w:p>
    <w:p>
      <w:pPr>
        <w:pStyle w:val="98"/>
        <w:numPr>
          <w:ilvl w:val="0"/>
          <w:numId w:val="9"/>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F</w:t>
      </w:r>
      <w:r>
        <w:rPr>
          <w:rFonts w:ascii="Times New Roman" w:hAnsi="Times New Roman" w:eastAsia="宋体"/>
        </w:rPr>
        <w:t xml:space="preserve">or </w:t>
      </w:r>
      <w:r>
        <w:rPr>
          <w:rFonts w:hint="eastAsia" w:ascii="Times New Roman" w:hAnsi="Times New Roman" w:eastAsia="宋体"/>
        </w:rPr>
        <w:t>S</w:t>
      </w:r>
      <w:r>
        <w:rPr>
          <w:rFonts w:ascii="Times New Roman" w:hAnsi="Times New Roman" w:eastAsia="宋体"/>
        </w:rPr>
        <w:t>cenario-2</w:t>
      </w:r>
      <w:r>
        <w:rPr>
          <w:rFonts w:hint="eastAsia" w:ascii="Times New Roman" w:hAnsi="Times New Roman" w:eastAsia="宋体"/>
        </w:rPr>
        <w:t>, Case E</w:t>
      </w:r>
      <w:r>
        <w:rPr>
          <w:rFonts w:ascii="Times New Roman" w:hAnsi="Times New Roman" w:eastAsia="宋体"/>
        </w:rPr>
        <w:t xml:space="preserve"> needs to be</w:t>
      </w:r>
      <w:r>
        <w:rPr>
          <w:rFonts w:hint="eastAsia" w:ascii="Times New Roman" w:hAnsi="Times New Roman" w:eastAsia="宋体"/>
        </w:rPr>
        <w:t xml:space="preserve"> supported </w:t>
      </w:r>
      <w:r>
        <w:rPr>
          <w:rFonts w:ascii="Times New Roman" w:hAnsi="Times New Roman" w:eastAsia="宋体"/>
        </w:rPr>
        <w:t>and a single procedure like legacy PCell change is more preferable</w:t>
      </w:r>
      <w:r>
        <w:rPr>
          <w:rFonts w:hint="eastAsia" w:ascii="Times New Roman" w:hAnsi="Times New Roman" w:eastAsia="宋体"/>
        </w:rPr>
        <w:t>.</w:t>
      </w:r>
    </w:p>
    <w:p>
      <w:pPr>
        <w:pStyle w:val="98"/>
        <w:numPr>
          <w:ilvl w:val="0"/>
          <w:numId w:val="9"/>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F</w:t>
      </w:r>
      <w:r>
        <w:rPr>
          <w:rFonts w:ascii="Times New Roman" w:hAnsi="Times New Roman" w:eastAsia="宋体"/>
        </w:rPr>
        <w:t>or Scenario-2, Case G does not need to be supported in Release 18.</w:t>
      </w:r>
    </w:p>
    <w:p>
      <w:pPr>
        <w:pStyle w:val="98"/>
        <w:numPr>
          <w:ilvl w:val="0"/>
          <w:numId w:val="9"/>
        </w:numPr>
        <w:tabs>
          <w:tab w:val="left" w:pos="2024"/>
          <w:tab w:val="clear" w:pos="1304"/>
        </w:tabs>
        <w:spacing w:before="120" w:beforeLines="50"/>
        <w:ind w:left="1701" w:hanging="1701"/>
        <w:rPr>
          <w:rFonts w:ascii="Times New Roman" w:hAnsi="Times New Roman" w:eastAsia="宋体"/>
        </w:rPr>
      </w:pPr>
      <w:r>
        <w:rPr>
          <w:rFonts w:ascii="Times New Roman" w:hAnsi="Times New Roman" w:eastAsia="宋体"/>
        </w:rPr>
        <w:t xml:space="preserve">For indirect path addition after direct path setup (i.e. Case A) in Scenario-1, the existing intra-gNB D2I switch procedure can be reused </w:t>
      </w:r>
      <w:r>
        <w:rPr>
          <w:rFonts w:hint="eastAsia" w:ascii="Times New Roman" w:hAnsi="Times New Roman" w:eastAsia="宋体"/>
          <w:lang w:val="en-US"/>
        </w:rPr>
        <w:t>but</w:t>
      </w:r>
      <w:r>
        <w:rPr>
          <w:rFonts w:ascii="Times New Roman" w:hAnsi="Times New Roman" w:eastAsia="宋体"/>
        </w:rPr>
        <w:t xml:space="preserve"> </w:t>
      </w:r>
      <w:r>
        <w:rPr>
          <w:rFonts w:hint="eastAsia" w:ascii="Times New Roman" w:hAnsi="Times New Roman" w:eastAsia="宋体"/>
          <w:lang w:val="en-US"/>
        </w:rPr>
        <w:t xml:space="preserve">skipping </w:t>
      </w:r>
      <w:r>
        <w:rPr>
          <w:rFonts w:ascii="Times New Roman" w:hAnsi="Times New Roman" w:eastAsia="宋体"/>
        </w:rPr>
        <w:t>the step to release the direct path after indirect path addition.</w:t>
      </w:r>
    </w:p>
    <w:p>
      <w:pPr>
        <w:pStyle w:val="98"/>
        <w:numPr>
          <w:ilvl w:val="0"/>
          <w:numId w:val="9"/>
        </w:numPr>
        <w:tabs>
          <w:tab w:val="left" w:pos="2024"/>
          <w:tab w:val="clear" w:pos="1304"/>
        </w:tabs>
        <w:spacing w:before="120" w:beforeLines="50"/>
        <w:ind w:left="1701" w:hanging="1701"/>
        <w:rPr>
          <w:rFonts w:ascii="Times New Roman" w:hAnsi="Times New Roman" w:eastAsia="宋体"/>
        </w:rPr>
      </w:pPr>
      <w:r>
        <w:rPr>
          <w:rFonts w:ascii="Times New Roman" w:hAnsi="Times New Roman" w:eastAsia="宋体"/>
        </w:rPr>
        <w:t xml:space="preserve">For direct path addition after indirect path setup </w:t>
      </w:r>
      <w:r>
        <w:rPr>
          <w:rFonts w:hint="eastAsia" w:ascii="Times New Roman" w:hAnsi="Times New Roman" w:eastAsia="宋体"/>
        </w:rPr>
        <w:t>(i.e. Case B) in Scenario</w:t>
      </w:r>
      <w:r>
        <w:rPr>
          <w:rFonts w:ascii="Times New Roman" w:hAnsi="Times New Roman" w:eastAsia="宋体"/>
        </w:rPr>
        <w:t>-</w:t>
      </w:r>
      <w:r>
        <w:rPr>
          <w:rFonts w:hint="eastAsia" w:ascii="Times New Roman" w:hAnsi="Times New Roman" w:eastAsia="宋体"/>
        </w:rPr>
        <w:t>1</w:t>
      </w:r>
      <w:r>
        <w:rPr>
          <w:rFonts w:ascii="Times New Roman" w:hAnsi="Times New Roman" w:eastAsia="宋体"/>
        </w:rPr>
        <w:t xml:space="preserve">, the existing intra-gNB I2D switch procedure can be reused </w:t>
      </w:r>
      <w:r>
        <w:rPr>
          <w:rFonts w:hint="eastAsia" w:ascii="Times New Roman" w:hAnsi="Times New Roman" w:eastAsia="宋体"/>
          <w:lang w:val="en-US"/>
        </w:rPr>
        <w:t>but skipping</w:t>
      </w:r>
      <w:r>
        <w:rPr>
          <w:rFonts w:ascii="Times New Roman" w:hAnsi="Times New Roman" w:eastAsia="宋体"/>
        </w:rPr>
        <w:t xml:space="preserve"> the step to release the indirect path after direct path addition.</w:t>
      </w:r>
    </w:p>
    <w:p>
      <w:pPr>
        <w:pStyle w:val="98"/>
        <w:numPr>
          <w:ilvl w:val="0"/>
          <w:numId w:val="9"/>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For direct path addition after indirect path setup (i.e. Case B) in Scenario</w:t>
      </w:r>
      <w:r>
        <w:rPr>
          <w:rFonts w:ascii="Times New Roman" w:hAnsi="Times New Roman" w:eastAsia="宋体"/>
        </w:rPr>
        <w:t>-</w:t>
      </w:r>
      <w:r>
        <w:rPr>
          <w:rFonts w:hint="eastAsia" w:ascii="Times New Roman" w:hAnsi="Times New Roman" w:eastAsia="宋体"/>
        </w:rPr>
        <w:t xml:space="preserve">1, </w:t>
      </w:r>
      <w:r>
        <w:rPr>
          <w:rFonts w:ascii="Times New Roman" w:hAnsi="Times New Roman" w:eastAsia="宋体"/>
        </w:rPr>
        <w:t>RAN2 consider to support:</w:t>
      </w:r>
    </w:p>
    <w:p>
      <w:pPr>
        <w:pStyle w:val="98"/>
        <w:numPr>
          <w:ilvl w:val="1"/>
          <w:numId w:val="9"/>
        </w:numPr>
        <w:tabs>
          <w:tab w:val="left" w:pos="2024"/>
          <w:tab w:val="clear" w:pos="1304"/>
        </w:tabs>
        <w:spacing w:before="120" w:beforeLines="50"/>
        <w:rPr>
          <w:rFonts w:ascii="Times New Roman" w:hAnsi="Times New Roman" w:eastAsia="宋体"/>
        </w:rPr>
      </w:pPr>
      <w:r>
        <w:rPr>
          <w:rFonts w:ascii="Times New Roman" w:hAnsi="Times New Roman" w:eastAsia="宋体"/>
        </w:rPr>
        <w:t>one of the serving cells of the added direct path can be reconfigured as PCell for the remote UE;</w:t>
      </w:r>
    </w:p>
    <w:p>
      <w:pPr>
        <w:pStyle w:val="98"/>
        <w:numPr>
          <w:ilvl w:val="1"/>
          <w:numId w:val="9"/>
        </w:numPr>
        <w:tabs>
          <w:tab w:val="left" w:pos="2024"/>
          <w:tab w:val="clear" w:pos="1304"/>
        </w:tabs>
        <w:spacing w:before="120" w:beforeLines="50"/>
        <w:rPr>
          <w:rFonts w:ascii="Times New Roman" w:hAnsi="Times New Roman" w:eastAsia="宋体"/>
        </w:rPr>
      </w:pPr>
      <w:r>
        <w:rPr>
          <w:rFonts w:hint="eastAsia" w:ascii="Times New Roman" w:hAnsi="Times New Roman" w:eastAsia="宋体"/>
        </w:rPr>
        <w:t xml:space="preserve">the </w:t>
      </w:r>
      <w:r>
        <w:rPr>
          <w:rFonts w:ascii="Times New Roman" w:hAnsi="Times New Roman" w:eastAsia="宋体"/>
        </w:rPr>
        <w:t xml:space="preserve">added </w:t>
      </w:r>
      <w:r>
        <w:rPr>
          <w:rFonts w:hint="eastAsia" w:ascii="Times New Roman" w:hAnsi="Times New Roman" w:eastAsia="宋体"/>
        </w:rPr>
        <w:t xml:space="preserve">direct path can be reconfigured as </w:t>
      </w:r>
      <w:r>
        <w:rPr>
          <w:rFonts w:ascii="Times New Roman" w:hAnsi="Times New Roman" w:eastAsia="宋体"/>
        </w:rPr>
        <w:t xml:space="preserve">the </w:t>
      </w:r>
      <w:r>
        <w:rPr>
          <w:rFonts w:hint="eastAsia" w:ascii="Times New Roman" w:hAnsi="Times New Roman" w:eastAsia="宋体"/>
        </w:rPr>
        <w:t xml:space="preserve">primary path </w:t>
      </w:r>
      <w:r>
        <w:rPr>
          <w:rFonts w:hint="eastAsia" w:ascii="Times New Roman" w:hAnsi="Times New Roman" w:eastAsia="宋体"/>
          <w:lang w:val="en-US"/>
        </w:rPr>
        <w:t xml:space="preserve">at least </w:t>
      </w:r>
      <w:r>
        <w:rPr>
          <w:rFonts w:hint="eastAsia" w:ascii="Times New Roman" w:hAnsi="Times New Roman" w:eastAsia="宋体"/>
        </w:rPr>
        <w:t>for SRB1.</w:t>
      </w:r>
    </w:p>
    <w:p>
      <w:pPr>
        <w:pStyle w:val="98"/>
        <w:numPr>
          <w:ilvl w:val="0"/>
          <w:numId w:val="9"/>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I</w:t>
      </w:r>
      <w:r>
        <w:rPr>
          <w:rFonts w:ascii="Times New Roman" w:hAnsi="Times New Roman" w:eastAsia="宋体"/>
        </w:rPr>
        <w:t>f the PCell is one serving cell of the indirect path to be released for the remote UE with multipath (i.e. Case C) in Scenario-1, one of the serving cells of the direct path should be reconfigured as the PCell for the remote UE during the procedure.</w:t>
      </w:r>
    </w:p>
    <w:p>
      <w:pPr>
        <w:pStyle w:val="98"/>
        <w:numPr>
          <w:ilvl w:val="0"/>
          <w:numId w:val="9"/>
        </w:numPr>
        <w:tabs>
          <w:tab w:val="left" w:pos="2024"/>
          <w:tab w:val="clear" w:pos="1304"/>
        </w:tabs>
        <w:spacing w:before="120" w:beforeLines="50"/>
        <w:ind w:left="1701" w:hanging="1701"/>
        <w:rPr>
          <w:rFonts w:ascii="Times New Roman" w:hAnsi="Times New Roman" w:eastAsia="宋体"/>
        </w:rPr>
      </w:pPr>
      <w:r>
        <w:rPr>
          <w:rFonts w:ascii="Times New Roman" w:hAnsi="Times New Roman" w:eastAsia="宋体"/>
        </w:rPr>
        <w:t xml:space="preserve">If SRB1/SRB2 are only </w:t>
      </w:r>
      <w:r>
        <w:rPr>
          <w:rFonts w:hint="eastAsia" w:ascii="Times New Roman" w:hAnsi="Times New Roman" w:eastAsia="宋体"/>
          <w:lang w:val="en-US"/>
        </w:rPr>
        <w:t>on</w:t>
      </w:r>
      <w:r>
        <w:rPr>
          <w:rFonts w:ascii="Times New Roman" w:hAnsi="Times New Roman" w:eastAsia="宋体"/>
        </w:rPr>
        <w:t xml:space="preserve"> the indirect path to be released for the remote UE with multipath (i.e. Case C) in Scenario-1, SRB1/SRB2 should be </w:t>
      </w:r>
      <w:r>
        <w:rPr>
          <w:rFonts w:hint="eastAsia" w:ascii="Times New Roman" w:hAnsi="Times New Roman" w:eastAsia="宋体"/>
          <w:lang w:val="en-US"/>
        </w:rPr>
        <w:t>reconfigured</w:t>
      </w:r>
      <w:r>
        <w:rPr>
          <w:rFonts w:ascii="Times New Roman" w:hAnsi="Times New Roman" w:eastAsia="宋体"/>
        </w:rPr>
        <w:t xml:space="preserve"> to the direct path during the procedure.</w:t>
      </w:r>
    </w:p>
    <w:p>
      <w:pPr>
        <w:pStyle w:val="98"/>
        <w:numPr>
          <w:ilvl w:val="0"/>
          <w:numId w:val="9"/>
        </w:numPr>
        <w:tabs>
          <w:tab w:val="left" w:pos="2024"/>
          <w:tab w:val="clear" w:pos="1304"/>
        </w:tabs>
        <w:spacing w:before="120" w:beforeLines="50"/>
        <w:ind w:left="1701" w:hanging="1701"/>
        <w:rPr>
          <w:rFonts w:ascii="Times New Roman" w:hAnsi="Times New Roman" w:eastAsia="宋体"/>
        </w:rPr>
      </w:pPr>
      <w:r>
        <w:rPr>
          <w:rFonts w:ascii="Times New Roman" w:hAnsi="Times New Roman" w:eastAsia="宋体"/>
        </w:rPr>
        <w:t>If the PCell is one of the serving cells of the direct path to be released (i.e. Case D) in Scenario-1, one of the serving cells of the indirect path should be reconfigured as PCell for the remote UE during the procedure.</w:t>
      </w:r>
    </w:p>
    <w:p>
      <w:pPr>
        <w:pStyle w:val="98"/>
        <w:numPr>
          <w:ilvl w:val="0"/>
          <w:numId w:val="9"/>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I</w:t>
      </w:r>
      <w:r>
        <w:rPr>
          <w:rFonts w:ascii="Times New Roman" w:hAnsi="Times New Roman" w:eastAsia="宋体"/>
        </w:rPr>
        <w:t xml:space="preserve">f SRB1/SRB2 are only </w:t>
      </w:r>
      <w:r>
        <w:rPr>
          <w:rFonts w:hint="eastAsia" w:ascii="Times New Roman" w:hAnsi="Times New Roman" w:eastAsia="宋体"/>
          <w:lang w:val="en-US"/>
        </w:rPr>
        <w:t>on</w:t>
      </w:r>
      <w:r>
        <w:rPr>
          <w:rFonts w:ascii="Times New Roman" w:hAnsi="Times New Roman" w:eastAsia="宋体"/>
        </w:rPr>
        <w:t xml:space="preserve"> the direct path to be released (i.e. Case D) in Scenario-1, SRB1/SRB2 should be </w:t>
      </w:r>
      <w:r>
        <w:rPr>
          <w:rFonts w:hint="eastAsia" w:ascii="Times New Roman" w:hAnsi="Times New Roman" w:eastAsia="宋体"/>
          <w:lang w:val="en-US"/>
        </w:rPr>
        <w:t>reconfigured</w:t>
      </w:r>
      <w:r>
        <w:rPr>
          <w:rFonts w:ascii="Times New Roman" w:hAnsi="Times New Roman" w:eastAsia="宋体"/>
        </w:rPr>
        <w:t xml:space="preserve"> to the indirect path during the procedure</w:t>
      </w:r>
      <w:r>
        <w:rPr>
          <w:rFonts w:hint="eastAsia" w:ascii="Times New Roman" w:hAnsi="Times New Roman" w:eastAsia="宋体"/>
        </w:rPr>
        <w:t>.</w:t>
      </w:r>
    </w:p>
    <w:p>
      <w:pPr>
        <w:pStyle w:val="98"/>
        <w:numPr>
          <w:ilvl w:val="0"/>
          <w:numId w:val="9"/>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For path release cases (</w:t>
      </w:r>
      <w:r>
        <w:rPr>
          <w:rFonts w:ascii="Times New Roman" w:hAnsi="Times New Roman" w:eastAsia="宋体"/>
        </w:rPr>
        <w:t xml:space="preserve">i.e. </w:t>
      </w:r>
      <w:r>
        <w:rPr>
          <w:rFonts w:hint="eastAsia" w:ascii="Times New Roman" w:hAnsi="Times New Roman" w:eastAsia="宋体"/>
        </w:rPr>
        <w:t xml:space="preserve">Case C &amp; D) of </w:t>
      </w:r>
      <w:r>
        <w:rPr>
          <w:rFonts w:ascii="Times New Roman" w:hAnsi="Times New Roman" w:eastAsia="宋体"/>
        </w:rPr>
        <w:t>Scenario-1</w:t>
      </w:r>
      <w:r>
        <w:rPr>
          <w:rFonts w:hint="eastAsia" w:ascii="Times New Roman" w:hAnsi="Times New Roman" w:eastAsia="宋体"/>
        </w:rPr>
        <w:t xml:space="preserve">, PDCP data recovery </w:t>
      </w:r>
      <w:r>
        <w:rPr>
          <w:rFonts w:ascii="Times New Roman" w:hAnsi="Times New Roman" w:eastAsia="宋体"/>
        </w:rPr>
        <w:t>can be configured</w:t>
      </w:r>
      <w:r>
        <w:rPr>
          <w:rFonts w:hint="eastAsia" w:ascii="Times New Roman" w:hAnsi="Times New Roman" w:eastAsia="宋体"/>
        </w:rPr>
        <w:t xml:space="preserve"> for</w:t>
      </w:r>
      <w:r>
        <w:rPr>
          <w:rFonts w:ascii="Times New Roman" w:hAnsi="Times New Roman" w:eastAsia="宋体"/>
        </w:rPr>
        <w:t xml:space="preserve"> the</w:t>
      </w:r>
      <w:r>
        <w:rPr>
          <w:rFonts w:hint="eastAsia" w:ascii="Times New Roman" w:hAnsi="Times New Roman" w:eastAsia="宋体"/>
        </w:rPr>
        <w:t xml:space="preserve"> remote UE</w:t>
      </w:r>
      <w:r>
        <w:rPr>
          <w:rFonts w:ascii="Times New Roman" w:hAnsi="Times New Roman" w:eastAsia="宋体"/>
        </w:rPr>
        <w:t>’s</w:t>
      </w:r>
      <w:r>
        <w:rPr>
          <w:rFonts w:hint="eastAsia" w:ascii="Times New Roman" w:hAnsi="Times New Roman" w:eastAsia="宋体"/>
        </w:rPr>
        <w:t xml:space="preserve"> AM DRBs.</w:t>
      </w:r>
    </w:p>
    <w:p>
      <w:pPr>
        <w:pStyle w:val="98"/>
        <w:numPr>
          <w:ilvl w:val="0"/>
          <w:numId w:val="9"/>
        </w:numPr>
        <w:tabs>
          <w:tab w:val="left" w:pos="2024"/>
          <w:tab w:val="clear" w:pos="1304"/>
        </w:tabs>
        <w:spacing w:before="120" w:beforeLines="50"/>
        <w:ind w:left="1701" w:hanging="1701"/>
        <w:rPr>
          <w:rFonts w:ascii="Times New Roman" w:hAnsi="Times New Roman" w:eastAsia="宋体"/>
        </w:rPr>
      </w:pPr>
      <w:r>
        <w:br w:type="page"/>
      </w:r>
      <w:r>
        <w:rPr>
          <w:rFonts w:ascii="Times New Roman" w:hAnsi="Times New Roman" w:eastAsia="宋体"/>
        </w:rPr>
        <w:t xml:space="preserve">For adding indirect path after direct path setup (i.e. Case A) in Scenario-2, the </w:t>
      </w:r>
      <w:r>
        <w:rPr>
          <w:rFonts w:hint="eastAsia" w:ascii="Times New Roman" w:hAnsi="Times New Roman" w:eastAsia="宋体"/>
        </w:rPr>
        <w:t>remote</w:t>
      </w:r>
      <w:r>
        <w:rPr>
          <w:rFonts w:ascii="Times New Roman" w:hAnsi="Times New Roman" w:eastAsia="宋体"/>
        </w:rPr>
        <w:t xml:space="preserve"> UE should send </w:t>
      </w:r>
      <w:r>
        <w:rPr>
          <w:rFonts w:hint="eastAsia" w:ascii="Times New Roman" w:hAnsi="Times New Roman" w:eastAsia="宋体"/>
        </w:rPr>
        <w:t>the</w:t>
      </w:r>
      <w:r>
        <w:rPr>
          <w:rFonts w:ascii="Times New Roman" w:hAnsi="Times New Roman" w:eastAsia="宋体"/>
        </w:rPr>
        <w:t xml:space="preserve"> inter-UE association information or indirect path request to the gNB.</w:t>
      </w:r>
    </w:p>
    <w:p>
      <w:pPr>
        <w:pStyle w:val="98"/>
        <w:numPr>
          <w:ilvl w:val="0"/>
          <w:numId w:val="9"/>
        </w:numPr>
        <w:tabs>
          <w:tab w:val="left" w:pos="2024"/>
          <w:tab w:val="clear" w:pos="1304"/>
        </w:tabs>
        <w:spacing w:before="120" w:beforeLines="50"/>
        <w:ind w:left="1701" w:hanging="1701"/>
        <w:rPr>
          <w:rFonts w:ascii="Times New Roman" w:hAnsi="Times New Roman" w:eastAsia="宋体"/>
        </w:rPr>
      </w:pPr>
      <w:r>
        <w:rPr>
          <w:rFonts w:ascii="Times New Roman" w:hAnsi="Times New Roman" w:eastAsia="宋体"/>
        </w:rPr>
        <w:t>T</w:t>
      </w:r>
      <w:r>
        <w:rPr>
          <w:rFonts w:hint="eastAsia" w:ascii="Times New Roman" w:hAnsi="Times New Roman" w:eastAsia="宋体"/>
        </w:rPr>
        <w:t>he</w:t>
      </w:r>
      <w:r>
        <w:rPr>
          <w:rFonts w:ascii="Times New Roman" w:hAnsi="Times New Roman" w:eastAsia="宋体"/>
        </w:rPr>
        <w:t xml:space="preserve"> inter-UE association information or indirect path request can comprise </w:t>
      </w:r>
      <w:r>
        <w:rPr>
          <w:rFonts w:hint="eastAsia" w:ascii="Times New Roman" w:hAnsi="Times New Roman" w:eastAsia="宋体"/>
          <w:lang w:val="en-US"/>
        </w:rPr>
        <w:t xml:space="preserve">of </w:t>
      </w:r>
      <w:r>
        <w:rPr>
          <w:rFonts w:ascii="Times New Roman" w:hAnsi="Times New Roman" w:eastAsia="宋体"/>
        </w:rPr>
        <w:t xml:space="preserve">the </w:t>
      </w:r>
      <w:r>
        <w:rPr>
          <w:rFonts w:hint="eastAsia" w:ascii="Times New Roman" w:hAnsi="Times New Roman" w:eastAsia="宋体"/>
        </w:rPr>
        <w:t>C-</w:t>
      </w:r>
      <w:r>
        <w:rPr>
          <w:rFonts w:ascii="Times New Roman" w:hAnsi="Times New Roman" w:eastAsia="宋体"/>
        </w:rPr>
        <w:t>RNTI of the relay UE and the serving Cell ID of relay UE.</w:t>
      </w:r>
    </w:p>
    <w:p>
      <w:pPr>
        <w:pStyle w:val="98"/>
        <w:numPr>
          <w:ilvl w:val="0"/>
          <w:numId w:val="9"/>
        </w:numPr>
        <w:tabs>
          <w:tab w:val="left" w:pos="2024"/>
          <w:tab w:val="clear" w:pos="1304"/>
        </w:tabs>
        <w:spacing w:before="120" w:beforeLines="50"/>
        <w:ind w:left="1701" w:hanging="1701"/>
        <w:rPr>
          <w:rFonts w:ascii="Times New Roman" w:hAnsi="Times New Roman" w:eastAsia="宋体"/>
        </w:rPr>
      </w:pPr>
      <w:r>
        <w:rPr>
          <w:rFonts w:hint="eastAsia" w:ascii="Times New Roman" w:hAnsi="Times New Roman" w:eastAsia="宋体"/>
        </w:rPr>
        <w:t xml:space="preserve">For </w:t>
      </w:r>
      <w:r>
        <w:rPr>
          <w:rFonts w:ascii="Times New Roman" w:hAnsi="Times New Roman" w:eastAsia="宋体"/>
        </w:rPr>
        <w:t xml:space="preserve">indirect </w:t>
      </w:r>
      <w:r>
        <w:rPr>
          <w:rFonts w:hint="eastAsia" w:ascii="Times New Roman" w:hAnsi="Times New Roman" w:eastAsia="宋体"/>
        </w:rPr>
        <w:t>path release case (</w:t>
      </w:r>
      <w:r>
        <w:rPr>
          <w:rFonts w:ascii="Times New Roman" w:hAnsi="Times New Roman" w:eastAsia="宋体"/>
        </w:rPr>
        <w:t xml:space="preserve">i.e. </w:t>
      </w:r>
      <w:r>
        <w:rPr>
          <w:rFonts w:hint="eastAsia" w:ascii="Times New Roman" w:hAnsi="Times New Roman" w:eastAsia="宋体"/>
        </w:rPr>
        <w:t xml:space="preserve">Case C) of </w:t>
      </w:r>
      <w:r>
        <w:rPr>
          <w:rFonts w:ascii="Times New Roman" w:hAnsi="Times New Roman" w:eastAsia="宋体"/>
        </w:rPr>
        <w:t>Scenario-2</w:t>
      </w:r>
      <w:r>
        <w:rPr>
          <w:rFonts w:hint="eastAsia" w:ascii="Times New Roman" w:hAnsi="Times New Roman" w:eastAsia="宋体"/>
        </w:rPr>
        <w:t xml:space="preserve">, PDCP data recovery </w:t>
      </w:r>
      <w:r>
        <w:rPr>
          <w:rFonts w:ascii="Times New Roman" w:hAnsi="Times New Roman" w:eastAsia="宋体"/>
        </w:rPr>
        <w:t>can be configured</w:t>
      </w:r>
      <w:r>
        <w:rPr>
          <w:rFonts w:hint="eastAsia" w:ascii="Times New Roman" w:hAnsi="Times New Roman" w:eastAsia="宋体"/>
        </w:rPr>
        <w:t xml:space="preserve"> for </w:t>
      </w:r>
      <w:r>
        <w:rPr>
          <w:rFonts w:ascii="Times New Roman" w:hAnsi="Times New Roman" w:eastAsia="宋体"/>
        </w:rPr>
        <w:t xml:space="preserve">the </w:t>
      </w:r>
      <w:r>
        <w:rPr>
          <w:rFonts w:hint="eastAsia" w:ascii="Times New Roman" w:hAnsi="Times New Roman" w:eastAsia="宋体"/>
        </w:rPr>
        <w:t>remote UE</w:t>
      </w:r>
      <w:r>
        <w:rPr>
          <w:rFonts w:ascii="Times New Roman" w:hAnsi="Times New Roman" w:eastAsia="宋体"/>
        </w:rPr>
        <w:t>’s</w:t>
      </w:r>
      <w:r>
        <w:rPr>
          <w:rFonts w:hint="eastAsia" w:ascii="Times New Roman" w:hAnsi="Times New Roman" w:eastAsia="宋体"/>
        </w:rPr>
        <w:t xml:space="preserve"> AM DRBs.</w:t>
      </w:r>
    </w:p>
    <w:p>
      <w:pPr>
        <w:pStyle w:val="3"/>
        <w:ind w:left="1440" w:hanging="1440"/>
        <w:rPr>
          <w:rFonts w:eastAsia="宋体"/>
          <w:b/>
          <w:lang w:val="en-GB" w:eastAsia="zh-CN"/>
        </w:rPr>
      </w:pPr>
    </w:p>
    <w:p>
      <w:pPr>
        <w:pStyle w:val="2"/>
        <w:keepLines/>
        <w:numPr>
          <w:ilvl w:val="0"/>
          <w:numId w:val="6"/>
        </w:numPr>
        <w:pBdr>
          <w:top w:val="single" w:color="auto" w:sz="12" w:space="3"/>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References</w:t>
      </w:r>
    </w:p>
    <w:p>
      <w:pPr>
        <w:numPr>
          <w:ilvl w:val="0"/>
          <w:numId w:val="10"/>
        </w:numPr>
        <w:rPr>
          <w:rFonts w:eastAsia="宋体"/>
          <w:color w:val="000000"/>
          <w:lang w:eastAsia="zh-CN"/>
        </w:rPr>
      </w:pPr>
      <w:r>
        <w:rPr>
          <w:rFonts w:eastAsia="宋体"/>
          <w:color w:val="000000"/>
          <w:lang w:eastAsia="zh-CN"/>
        </w:rPr>
        <w:t>R2-2210027, [Post119-e][408][Relay] Path operations in multi-path relaying (LG);</w:t>
      </w:r>
    </w:p>
    <w:p>
      <w:pPr>
        <w:numPr>
          <w:ilvl w:val="0"/>
          <w:numId w:val="10"/>
        </w:numPr>
        <w:rPr>
          <w:rFonts w:eastAsia="宋体"/>
          <w:color w:val="000000"/>
          <w:lang w:eastAsia="zh-CN"/>
        </w:rPr>
      </w:pPr>
      <w:r>
        <w:rPr>
          <w:rFonts w:hint="eastAsia" w:eastAsia="宋体"/>
          <w:color w:val="000000"/>
          <w:lang w:eastAsia="zh-CN"/>
        </w:rPr>
        <w:t>R</w:t>
      </w:r>
      <w:r>
        <w:rPr>
          <w:rFonts w:eastAsia="宋体"/>
          <w:color w:val="000000"/>
          <w:lang w:eastAsia="zh-CN"/>
        </w:rPr>
        <w:t>AN2#119bis e, Chairman’ Minutes;</w:t>
      </w:r>
    </w:p>
    <w:p>
      <w:pPr>
        <w:numPr>
          <w:ilvl w:val="0"/>
          <w:numId w:val="10"/>
        </w:numPr>
        <w:rPr>
          <w:lang w:val="en-GB" w:eastAsia="ja-JP"/>
        </w:rPr>
      </w:pPr>
      <w:r>
        <w:t>R2-2210913, Summary of [AT119bis-e][426][Relay] Control plane aspects for multi-path (OPPO)</w:t>
      </w:r>
      <w:r>
        <w:rPr>
          <w:rFonts w:hint="eastAsia" w:eastAsia="宋体"/>
          <w:lang w:val="en-US" w:eastAsia="zh-CN"/>
        </w:rPr>
        <w:t>.</w:t>
      </w:r>
      <w:r>
        <w:rPr>
          <w:lang w:val="en-GB" w:eastAsia="ja-JP"/>
        </w:rPr>
        <w:t xml:space="preserve"> </w:t>
      </w:r>
    </w:p>
    <w:sectPr>
      <w:headerReference r:id="rId3" w:type="default"/>
      <w:pgSz w:w="11906" w:h="16838"/>
      <w:pgMar w:top="284"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B44318"/>
    <w:multiLevelType w:val="multilevel"/>
    <w:tmpl w:val="12B44318"/>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EB75808"/>
    <w:multiLevelType w:val="multilevel"/>
    <w:tmpl w:val="2EB75808"/>
    <w:lvl w:ilvl="0" w:tentative="0">
      <w:start w:val="1"/>
      <w:numFmt w:val="decimal"/>
      <w:lvlText w:val="Proposal %1"/>
      <w:lvlJc w:val="left"/>
      <w:pPr>
        <w:ind w:left="6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DE34BC"/>
    <w:multiLevelType w:val="singleLevel"/>
    <w:tmpl w:val="40DE34BC"/>
    <w:lvl w:ilvl="0" w:tentative="0">
      <w:start w:val="1"/>
      <w:numFmt w:val="decimal"/>
      <w:pStyle w:val="60"/>
      <w:lvlText w:val="%1."/>
      <w:lvlJc w:val="left"/>
      <w:pPr>
        <w:tabs>
          <w:tab w:val="left" w:pos="360"/>
        </w:tabs>
        <w:ind w:left="360" w:hanging="360"/>
      </w:pPr>
    </w:lvl>
  </w:abstractNum>
  <w:abstractNum w:abstractNumId="3">
    <w:nsid w:val="4BDF65F6"/>
    <w:multiLevelType w:val="multilevel"/>
    <w:tmpl w:val="4BDF65F6"/>
    <w:lvl w:ilvl="0" w:tentative="0">
      <w:start w:val="1"/>
      <w:numFmt w:val="decimal"/>
      <w:pStyle w:val="9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6815BE2"/>
    <w:multiLevelType w:val="multilevel"/>
    <w:tmpl w:val="56815BE2"/>
    <w:lvl w:ilvl="0" w:tentative="0">
      <w:start w:val="1"/>
      <w:numFmt w:val="decimal"/>
      <w:pStyle w:val="59"/>
      <w:lvlText w:val="[%1]"/>
      <w:lvlJc w:val="left"/>
      <w:pPr>
        <w:tabs>
          <w:tab w:val="left" w:pos="567"/>
        </w:tabs>
        <w:ind w:left="0" w:firstLine="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D6C0433"/>
    <w:multiLevelType w:val="multilevel"/>
    <w:tmpl w:val="6D6C0433"/>
    <w:lvl w:ilvl="0" w:tentative="0">
      <w:start w:val="1"/>
      <w:numFmt w:val="decimal"/>
      <w:lvlText w:val="%1."/>
      <w:lvlJc w:val="left"/>
      <w:pPr>
        <w:tabs>
          <w:tab w:val="left" w:pos="425"/>
        </w:tabs>
        <w:ind w:left="425" w:hanging="425"/>
      </w:pPr>
      <w:rPr>
        <w:lang w:val="en-US"/>
      </w:r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6">
    <w:nsid w:val="70146DC0"/>
    <w:multiLevelType w:val="multilevel"/>
    <w:tmpl w:val="70146DC0"/>
    <w:lvl w:ilvl="0" w:tentative="0">
      <w:start w:val="1"/>
      <w:numFmt w:val="bullet"/>
      <w:pStyle w:val="102"/>
      <w:lvlText w:val=""/>
      <w:lvlJc w:val="left"/>
      <w:pPr>
        <w:tabs>
          <w:tab w:val="left" w:pos="2250"/>
        </w:tabs>
        <w:ind w:left="2250" w:hanging="360"/>
      </w:pPr>
      <w:rPr>
        <w:rFonts w:hint="default" w:ascii="Symbol" w:hAnsi="Symbol"/>
        <w:b/>
        <w:i w:val="0"/>
        <w:color w:val="auto"/>
        <w:sz w:val="22"/>
        <w:lang w:val="en-GB"/>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7660060A"/>
    <w:multiLevelType w:val="multilevel"/>
    <w:tmpl w:val="7660060A"/>
    <w:lvl w:ilvl="0" w:tentative="0">
      <w:start w:val="1"/>
      <w:numFmt w:val="decimal"/>
      <w:lvlText w:val="Proposal %1"/>
      <w:lvlJc w:val="left"/>
      <w:pPr>
        <w:ind w:left="6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CB8713B"/>
    <w:multiLevelType w:val="multilevel"/>
    <w:tmpl w:val="7CB8713B"/>
    <w:lvl w:ilvl="0" w:tentative="0">
      <w:start w:val="1"/>
      <w:numFmt w:val="decimal"/>
      <w:lvlText w:val="[%1]"/>
      <w:lvlJc w:val="left"/>
      <w:pPr>
        <w:ind w:left="420" w:hanging="420"/>
      </w:pPr>
      <w:rPr>
        <w:rFonts w:hint="default"/>
        <w:b w:val="0"/>
        <w:i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4"/>
  </w:num>
  <w:num w:numId="3">
    <w:abstractNumId w:val="2"/>
  </w:num>
  <w:num w:numId="4">
    <w:abstractNumId w:val="3"/>
  </w:num>
  <w:num w:numId="5">
    <w:abstractNumId w:val="6"/>
  </w:num>
  <w:num w:numId="6">
    <w:abstractNumId w:val="5"/>
  </w:num>
  <w:num w:numId="7">
    <w:abstractNumId w:val="8"/>
  </w:num>
  <w:num w:numId="8">
    <w:abstractNumId w:val="0"/>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characterSpacingControl w:val="doNotCompress"/>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0DA0"/>
    <w:rsid w:val="00002134"/>
    <w:rsid w:val="0000314A"/>
    <w:rsid w:val="0000327C"/>
    <w:rsid w:val="00003886"/>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5F3"/>
    <w:rsid w:val="000065F8"/>
    <w:rsid w:val="0000694F"/>
    <w:rsid w:val="00006DB1"/>
    <w:rsid w:val="0000721F"/>
    <w:rsid w:val="0001068D"/>
    <w:rsid w:val="00010791"/>
    <w:rsid w:val="0001087A"/>
    <w:rsid w:val="00011119"/>
    <w:rsid w:val="000116A5"/>
    <w:rsid w:val="00011C8C"/>
    <w:rsid w:val="00011CEA"/>
    <w:rsid w:val="00011F30"/>
    <w:rsid w:val="00011FED"/>
    <w:rsid w:val="00011FFB"/>
    <w:rsid w:val="00012414"/>
    <w:rsid w:val="000124C4"/>
    <w:rsid w:val="000126F3"/>
    <w:rsid w:val="000128E4"/>
    <w:rsid w:val="00013333"/>
    <w:rsid w:val="000137AA"/>
    <w:rsid w:val="0001408B"/>
    <w:rsid w:val="000149C2"/>
    <w:rsid w:val="00014BD6"/>
    <w:rsid w:val="00014CC2"/>
    <w:rsid w:val="00014D04"/>
    <w:rsid w:val="00015A87"/>
    <w:rsid w:val="0001619A"/>
    <w:rsid w:val="00016613"/>
    <w:rsid w:val="000167AA"/>
    <w:rsid w:val="00016AC6"/>
    <w:rsid w:val="000174AD"/>
    <w:rsid w:val="000174F1"/>
    <w:rsid w:val="00017648"/>
    <w:rsid w:val="000178D6"/>
    <w:rsid w:val="00017BA4"/>
    <w:rsid w:val="00017F49"/>
    <w:rsid w:val="00017F6F"/>
    <w:rsid w:val="0002087D"/>
    <w:rsid w:val="000208A6"/>
    <w:rsid w:val="00020A0A"/>
    <w:rsid w:val="00020A1C"/>
    <w:rsid w:val="00021042"/>
    <w:rsid w:val="0002195F"/>
    <w:rsid w:val="00021B1B"/>
    <w:rsid w:val="00021C03"/>
    <w:rsid w:val="000228BC"/>
    <w:rsid w:val="00022A7D"/>
    <w:rsid w:val="000241CB"/>
    <w:rsid w:val="00024DC5"/>
    <w:rsid w:val="000250AB"/>
    <w:rsid w:val="000254B6"/>
    <w:rsid w:val="000254CE"/>
    <w:rsid w:val="0002552A"/>
    <w:rsid w:val="0002596D"/>
    <w:rsid w:val="00025A64"/>
    <w:rsid w:val="000260C1"/>
    <w:rsid w:val="0002645B"/>
    <w:rsid w:val="00026646"/>
    <w:rsid w:val="0002679E"/>
    <w:rsid w:val="000274D5"/>
    <w:rsid w:val="0002754F"/>
    <w:rsid w:val="0003059F"/>
    <w:rsid w:val="000305F0"/>
    <w:rsid w:val="00030815"/>
    <w:rsid w:val="00030A97"/>
    <w:rsid w:val="00030BD6"/>
    <w:rsid w:val="00030DFC"/>
    <w:rsid w:val="0003234F"/>
    <w:rsid w:val="000325F7"/>
    <w:rsid w:val="000325FA"/>
    <w:rsid w:val="00032F36"/>
    <w:rsid w:val="000332EC"/>
    <w:rsid w:val="000338A4"/>
    <w:rsid w:val="00033ACC"/>
    <w:rsid w:val="00033B0F"/>
    <w:rsid w:val="00033D65"/>
    <w:rsid w:val="00034864"/>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12E1"/>
    <w:rsid w:val="00041630"/>
    <w:rsid w:val="00041843"/>
    <w:rsid w:val="00041E6C"/>
    <w:rsid w:val="000421F2"/>
    <w:rsid w:val="00042288"/>
    <w:rsid w:val="00042725"/>
    <w:rsid w:val="00042955"/>
    <w:rsid w:val="00042FF4"/>
    <w:rsid w:val="00043413"/>
    <w:rsid w:val="00043648"/>
    <w:rsid w:val="000439E7"/>
    <w:rsid w:val="00043F7C"/>
    <w:rsid w:val="00044275"/>
    <w:rsid w:val="00044623"/>
    <w:rsid w:val="00045071"/>
    <w:rsid w:val="000458C5"/>
    <w:rsid w:val="000458FF"/>
    <w:rsid w:val="00045B1D"/>
    <w:rsid w:val="000465F7"/>
    <w:rsid w:val="00047121"/>
    <w:rsid w:val="00047398"/>
    <w:rsid w:val="00047423"/>
    <w:rsid w:val="00047657"/>
    <w:rsid w:val="0004779E"/>
    <w:rsid w:val="00047D75"/>
    <w:rsid w:val="000503BF"/>
    <w:rsid w:val="00050715"/>
    <w:rsid w:val="0005078C"/>
    <w:rsid w:val="00050B92"/>
    <w:rsid w:val="00050D4B"/>
    <w:rsid w:val="000510FE"/>
    <w:rsid w:val="000517C0"/>
    <w:rsid w:val="00051C37"/>
    <w:rsid w:val="000520C7"/>
    <w:rsid w:val="0005214F"/>
    <w:rsid w:val="00052966"/>
    <w:rsid w:val="00053004"/>
    <w:rsid w:val="000537F7"/>
    <w:rsid w:val="00053D7E"/>
    <w:rsid w:val="000540C0"/>
    <w:rsid w:val="000542D8"/>
    <w:rsid w:val="000542DA"/>
    <w:rsid w:val="00054698"/>
    <w:rsid w:val="0005477E"/>
    <w:rsid w:val="00054830"/>
    <w:rsid w:val="00055382"/>
    <w:rsid w:val="00055721"/>
    <w:rsid w:val="000557BD"/>
    <w:rsid w:val="000559D2"/>
    <w:rsid w:val="00055E49"/>
    <w:rsid w:val="00055F78"/>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FE2"/>
    <w:rsid w:val="00065784"/>
    <w:rsid w:val="000658F2"/>
    <w:rsid w:val="00065E7E"/>
    <w:rsid w:val="0006633A"/>
    <w:rsid w:val="000663CF"/>
    <w:rsid w:val="00066EFF"/>
    <w:rsid w:val="00067408"/>
    <w:rsid w:val="000676BD"/>
    <w:rsid w:val="00067C74"/>
    <w:rsid w:val="00067D9C"/>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E57"/>
    <w:rsid w:val="0007568E"/>
    <w:rsid w:val="000757E4"/>
    <w:rsid w:val="00075BCC"/>
    <w:rsid w:val="00075FDA"/>
    <w:rsid w:val="00076367"/>
    <w:rsid w:val="0007680E"/>
    <w:rsid w:val="00076953"/>
    <w:rsid w:val="00076A2B"/>
    <w:rsid w:val="00076E3A"/>
    <w:rsid w:val="000771D1"/>
    <w:rsid w:val="000771D8"/>
    <w:rsid w:val="00077878"/>
    <w:rsid w:val="00077C76"/>
    <w:rsid w:val="00077DB2"/>
    <w:rsid w:val="00077E6A"/>
    <w:rsid w:val="000804E1"/>
    <w:rsid w:val="000810A7"/>
    <w:rsid w:val="000813D1"/>
    <w:rsid w:val="00081472"/>
    <w:rsid w:val="000816D8"/>
    <w:rsid w:val="000817D8"/>
    <w:rsid w:val="00081C42"/>
    <w:rsid w:val="0008210E"/>
    <w:rsid w:val="0008244E"/>
    <w:rsid w:val="00082927"/>
    <w:rsid w:val="00082AB1"/>
    <w:rsid w:val="00082C0D"/>
    <w:rsid w:val="00082F95"/>
    <w:rsid w:val="0008308B"/>
    <w:rsid w:val="000831D2"/>
    <w:rsid w:val="000838E0"/>
    <w:rsid w:val="00083A72"/>
    <w:rsid w:val="00083B3D"/>
    <w:rsid w:val="00083C3C"/>
    <w:rsid w:val="000841C4"/>
    <w:rsid w:val="000849C5"/>
    <w:rsid w:val="00084FDF"/>
    <w:rsid w:val="00085374"/>
    <w:rsid w:val="000855DF"/>
    <w:rsid w:val="000857E9"/>
    <w:rsid w:val="00085840"/>
    <w:rsid w:val="00085970"/>
    <w:rsid w:val="00085FE1"/>
    <w:rsid w:val="00086187"/>
    <w:rsid w:val="0008625E"/>
    <w:rsid w:val="000867C0"/>
    <w:rsid w:val="00086931"/>
    <w:rsid w:val="00087CF0"/>
    <w:rsid w:val="00090FD2"/>
    <w:rsid w:val="00091885"/>
    <w:rsid w:val="00091C53"/>
    <w:rsid w:val="00091C8C"/>
    <w:rsid w:val="000921EC"/>
    <w:rsid w:val="0009234A"/>
    <w:rsid w:val="000924E9"/>
    <w:rsid w:val="00092FB0"/>
    <w:rsid w:val="000931F0"/>
    <w:rsid w:val="0009327A"/>
    <w:rsid w:val="00093374"/>
    <w:rsid w:val="00093EC0"/>
    <w:rsid w:val="0009419A"/>
    <w:rsid w:val="00094600"/>
    <w:rsid w:val="000949E3"/>
    <w:rsid w:val="00094B3C"/>
    <w:rsid w:val="00094B40"/>
    <w:rsid w:val="00094DA0"/>
    <w:rsid w:val="000951E0"/>
    <w:rsid w:val="00095512"/>
    <w:rsid w:val="00095889"/>
    <w:rsid w:val="00095F77"/>
    <w:rsid w:val="00096648"/>
    <w:rsid w:val="00096E01"/>
    <w:rsid w:val="00096F93"/>
    <w:rsid w:val="0009740A"/>
    <w:rsid w:val="0009777D"/>
    <w:rsid w:val="00097909"/>
    <w:rsid w:val="00097E27"/>
    <w:rsid w:val="00097EAD"/>
    <w:rsid w:val="000A02C2"/>
    <w:rsid w:val="000A07A7"/>
    <w:rsid w:val="000A09D3"/>
    <w:rsid w:val="000A0D04"/>
    <w:rsid w:val="000A18F9"/>
    <w:rsid w:val="000A1A4E"/>
    <w:rsid w:val="000A1BC9"/>
    <w:rsid w:val="000A2083"/>
    <w:rsid w:val="000A2B56"/>
    <w:rsid w:val="000A2BFF"/>
    <w:rsid w:val="000A2D2E"/>
    <w:rsid w:val="000A2DF4"/>
    <w:rsid w:val="000A3167"/>
    <w:rsid w:val="000A31A0"/>
    <w:rsid w:val="000A3FE9"/>
    <w:rsid w:val="000A4AE5"/>
    <w:rsid w:val="000A4D08"/>
    <w:rsid w:val="000A52E5"/>
    <w:rsid w:val="000A535E"/>
    <w:rsid w:val="000A53D8"/>
    <w:rsid w:val="000A5527"/>
    <w:rsid w:val="000A5784"/>
    <w:rsid w:val="000A5C78"/>
    <w:rsid w:val="000A5E0C"/>
    <w:rsid w:val="000A5FBB"/>
    <w:rsid w:val="000A6BF8"/>
    <w:rsid w:val="000A7B49"/>
    <w:rsid w:val="000B0969"/>
    <w:rsid w:val="000B0A87"/>
    <w:rsid w:val="000B1009"/>
    <w:rsid w:val="000B131E"/>
    <w:rsid w:val="000B13A2"/>
    <w:rsid w:val="000B15B3"/>
    <w:rsid w:val="000B1635"/>
    <w:rsid w:val="000B17B6"/>
    <w:rsid w:val="000B17FB"/>
    <w:rsid w:val="000B1A23"/>
    <w:rsid w:val="000B1C22"/>
    <w:rsid w:val="000B1CF1"/>
    <w:rsid w:val="000B28ED"/>
    <w:rsid w:val="000B2913"/>
    <w:rsid w:val="000B2E4D"/>
    <w:rsid w:val="000B2F47"/>
    <w:rsid w:val="000B3216"/>
    <w:rsid w:val="000B3390"/>
    <w:rsid w:val="000B33C6"/>
    <w:rsid w:val="000B36EE"/>
    <w:rsid w:val="000B3F5F"/>
    <w:rsid w:val="000B40D1"/>
    <w:rsid w:val="000B4403"/>
    <w:rsid w:val="000B555C"/>
    <w:rsid w:val="000B5F99"/>
    <w:rsid w:val="000B6019"/>
    <w:rsid w:val="000B642E"/>
    <w:rsid w:val="000B6824"/>
    <w:rsid w:val="000B6B0E"/>
    <w:rsid w:val="000B6BBD"/>
    <w:rsid w:val="000C0172"/>
    <w:rsid w:val="000C06A6"/>
    <w:rsid w:val="000C0D3A"/>
    <w:rsid w:val="000C0DE3"/>
    <w:rsid w:val="000C1001"/>
    <w:rsid w:val="000C12BA"/>
    <w:rsid w:val="000C1B5F"/>
    <w:rsid w:val="000C1D91"/>
    <w:rsid w:val="000C2208"/>
    <w:rsid w:val="000C2567"/>
    <w:rsid w:val="000C256E"/>
    <w:rsid w:val="000C25E0"/>
    <w:rsid w:val="000C27FD"/>
    <w:rsid w:val="000C2FA3"/>
    <w:rsid w:val="000C3170"/>
    <w:rsid w:val="000C31B8"/>
    <w:rsid w:val="000C345D"/>
    <w:rsid w:val="000C3CFF"/>
    <w:rsid w:val="000C472E"/>
    <w:rsid w:val="000C4D73"/>
    <w:rsid w:val="000C4D87"/>
    <w:rsid w:val="000C515A"/>
    <w:rsid w:val="000C5E43"/>
    <w:rsid w:val="000C6024"/>
    <w:rsid w:val="000C62D9"/>
    <w:rsid w:val="000C6385"/>
    <w:rsid w:val="000C6AD0"/>
    <w:rsid w:val="000C73A4"/>
    <w:rsid w:val="000D0A02"/>
    <w:rsid w:val="000D0DDF"/>
    <w:rsid w:val="000D13EC"/>
    <w:rsid w:val="000D1DA1"/>
    <w:rsid w:val="000D1E97"/>
    <w:rsid w:val="000D1EA7"/>
    <w:rsid w:val="000D221D"/>
    <w:rsid w:val="000D24A9"/>
    <w:rsid w:val="000D2554"/>
    <w:rsid w:val="000D26B6"/>
    <w:rsid w:val="000D284E"/>
    <w:rsid w:val="000D2BC1"/>
    <w:rsid w:val="000D2F3B"/>
    <w:rsid w:val="000D30E4"/>
    <w:rsid w:val="000D3112"/>
    <w:rsid w:val="000D360C"/>
    <w:rsid w:val="000D3A53"/>
    <w:rsid w:val="000D3C4D"/>
    <w:rsid w:val="000D5391"/>
    <w:rsid w:val="000D5B4C"/>
    <w:rsid w:val="000D66CA"/>
    <w:rsid w:val="000D698A"/>
    <w:rsid w:val="000D6B65"/>
    <w:rsid w:val="000D7215"/>
    <w:rsid w:val="000D7684"/>
    <w:rsid w:val="000D7AA0"/>
    <w:rsid w:val="000E068D"/>
    <w:rsid w:val="000E0715"/>
    <w:rsid w:val="000E0B2C"/>
    <w:rsid w:val="000E0F87"/>
    <w:rsid w:val="000E174C"/>
    <w:rsid w:val="000E1909"/>
    <w:rsid w:val="000E1B02"/>
    <w:rsid w:val="000E260B"/>
    <w:rsid w:val="000E31A7"/>
    <w:rsid w:val="000E3C6B"/>
    <w:rsid w:val="000E3ED6"/>
    <w:rsid w:val="000E4629"/>
    <w:rsid w:val="000E4B3F"/>
    <w:rsid w:val="000E542E"/>
    <w:rsid w:val="000E5B81"/>
    <w:rsid w:val="000E63A3"/>
    <w:rsid w:val="000E64DE"/>
    <w:rsid w:val="000E6770"/>
    <w:rsid w:val="000E6C21"/>
    <w:rsid w:val="000E7159"/>
    <w:rsid w:val="000E744E"/>
    <w:rsid w:val="000E7E98"/>
    <w:rsid w:val="000E7F62"/>
    <w:rsid w:val="000F00ED"/>
    <w:rsid w:val="000F0419"/>
    <w:rsid w:val="000F1063"/>
    <w:rsid w:val="000F10F5"/>
    <w:rsid w:val="000F11F0"/>
    <w:rsid w:val="000F12F7"/>
    <w:rsid w:val="000F1F75"/>
    <w:rsid w:val="000F26CF"/>
    <w:rsid w:val="000F2CA9"/>
    <w:rsid w:val="000F306D"/>
    <w:rsid w:val="000F332B"/>
    <w:rsid w:val="000F38D0"/>
    <w:rsid w:val="000F3F5E"/>
    <w:rsid w:val="000F4997"/>
    <w:rsid w:val="000F531A"/>
    <w:rsid w:val="000F5388"/>
    <w:rsid w:val="000F57D5"/>
    <w:rsid w:val="000F58D9"/>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09B"/>
    <w:rsid w:val="0010244B"/>
    <w:rsid w:val="0010299B"/>
    <w:rsid w:val="00103170"/>
    <w:rsid w:val="001032FB"/>
    <w:rsid w:val="001033D2"/>
    <w:rsid w:val="00103937"/>
    <w:rsid w:val="001048AD"/>
    <w:rsid w:val="0010493D"/>
    <w:rsid w:val="00104CF2"/>
    <w:rsid w:val="00104DA0"/>
    <w:rsid w:val="00105160"/>
    <w:rsid w:val="00105249"/>
    <w:rsid w:val="001053C1"/>
    <w:rsid w:val="00105570"/>
    <w:rsid w:val="001056CB"/>
    <w:rsid w:val="00105812"/>
    <w:rsid w:val="00106735"/>
    <w:rsid w:val="001067A4"/>
    <w:rsid w:val="00106BC9"/>
    <w:rsid w:val="00106E11"/>
    <w:rsid w:val="00107304"/>
    <w:rsid w:val="00110828"/>
    <w:rsid w:val="001109E6"/>
    <w:rsid w:val="00111192"/>
    <w:rsid w:val="001113AF"/>
    <w:rsid w:val="00111620"/>
    <w:rsid w:val="00111719"/>
    <w:rsid w:val="00111A29"/>
    <w:rsid w:val="001120FC"/>
    <w:rsid w:val="001128A8"/>
    <w:rsid w:val="00112F21"/>
    <w:rsid w:val="0011300A"/>
    <w:rsid w:val="0011322D"/>
    <w:rsid w:val="00113355"/>
    <w:rsid w:val="001135BA"/>
    <w:rsid w:val="00113681"/>
    <w:rsid w:val="001137FD"/>
    <w:rsid w:val="00114BD9"/>
    <w:rsid w:val="00114F04"/>
    <w:rsid w:val="001151F9"/>
    <w:rsid w:val="00115911"/>
    <w:rsid w:val="00116A01"/>
    <w:rsid w:val="00116EAF"/>
    <w:rsid w:val="00117296"/>
    <w:rsid w:val="00117423"/>
    <w:rsid w:val="001174AC"/>
    <w:rsid w:val="0011759E"/>
    <w:rsid w:val="00120A72"/>
    <w:rsid w:val="00121651"/>
    <w:rsid w:val="001216B6"/>
    <w:rsid w:val="00121DA2"/>
    <w:rsid w:val="00121F6C"/>
    <w:rsid w:val="00122469"/>
    <w:rsid w:val="00122ABA"/>
    <w:rsid w:val="001233A1"/>
    <w:rsid w:val="00123B33"/>
    <w:rsid w:val="00123E23"/>
    <w:rsid w:val="00123E4E"/>
    <w:rsid w:val="00123E88"/>
    <w:rsid w:val="0012412F"/>
    <w:rsid w:val="00124497"/>
    <w:rsid w:val="00124BE6"/>
    <w:rsid w:val="00124C62"/>
    <w:rsid w:val="001251AA"/>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682"/>
    <w:rsid w:val="001326B7"/>
    <w:rsid w:val="00132BAC"/>
    <w:rsid w:val="00132CFC"/>
    <w:rsid w:val="00133505"/>
    <w:rsid w:val="0013361D"/>
    <w:rsid w:val="001338E0"/>
    <w:rsid w:val="00133AA5"/>
    <w:rsid w:val="00133DCD"/>
    <w:rsid w:val="001343D1"/>
    <w:rsid w:val="0013459A"/>
    <w:rsid w:val="00134974"/>
    <w:rsid w:val="00134B80"/>
    <w:rsid w:val="00134B9D"/>
    <w:rsid w:val="0013500E"/>
    <w:rsid w:val="001354D1"/>
    <w:rsid w:val="0013594B"/>
    <w:rsid w:val="00135972"/>
    <w:rsid w:val="00135A19"/>
    <w:rsid w:val="00135E35"/>
    <w:rsid w:val="00136179"/>
    <w:rsid w:val="0013659E"/>
    <w:rsid w:val="00136651"/>
    <w:rsid w:val="0013688A"/>
    <w:rsid w:val="00136DDF"/>
    <w:rsid w:val="00136EA1"/>
    <w:rsid w:val="00137391"/>
    <w:rsid w:val="0013750E"/>
    <w:rsid w:val="00137CD3"/>
    <w:rsid w:val="001405C9"/>
    <w:rsid w:val="00140A67"/>
    <w:rsid w:val="001410A9"/>
    <w:rsid w:val="001413F1"/>
    <w:rsid w:val="001414DA"/>
    <w:rsid w:val="00141757"/>
    <w:rsid w:val="00141AC2"/>
    <w:rsid w:val="00141B8E"/>
    <w:rsid w:val="00141D50"/>
    <w:rsid w:val="001421D0"/>
    <w:rsid w:val="0014227B"/>
    <w:rsid w:val="001426D9"/>
    <w:rsid w:val="00142F28"/>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0D8B"/>
    <w:rsid w:val="001511AD"/>
    <w:rsid w:val="001516AB"/>
    <w:rsid w:val="0015172E"/>
    <w:rsid w:val="001518D9"/>
    <w:rsid w:val="00151BB2"/>
    <w:rsid w:val="0015231B"/>
    <w:rsid w:val="001524CF"/>
    <w:rsid w:val="00152635"/>
    <w:rsid w:val="00152B63"/>
    <w:rsid w:val="00152C79"/>
    <w:rsid w:val="00152CD0"/>
    <w:rsid w:val="00153000"/>
    <w:rsid w:val="0015312D"/>
    <w:rsid w:val="00153307"/>
    <w:rsid w:val="001533E3"/>
    <w:rsid w:val="001536C1"/>
    <w:rsid w:val="00153B22"/>
    <w:rsid w:val="00153FA9"/>
    <w:rsid w:val="001546F4"/>
    <w:rsid w:val="00154789"/>
    <w:rsid w:val="00154F45"/>
    <w:rsid w:val="00155491"/>
    <w:rsid w:val="001557B2"/>
    <w:rsid w:val="0015581D"/>
    <w:rsid w:val="00155B12"/>
    <w:rsid w:val="00155CD9"/>
    <w:rsid w:val="001562C6"/>
    <w:rsid w:val="00156378"/>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8D0"/>
    <w:rsid w:val="00162A86"/>
    <w:rsid w:val="00162D9C"/>
    <w:rsid w:val="001631C7"/>
    <w:rsid w:val="0016331D"/>
    <w:rsid w:val="00163436"/>
    <w:rsid w:val="001642AB"/>
    <w:rsid w:val="00164453"/>
    <w:rsid w:val="00164712"/>
    <w:rsid w:val="0016473C"/>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E3C"/>
    <w:rsid w:val="00167EB4"/>
    <w:rsid w:val="00167F0E"/>
    <w:rsid w:val="0017023E"/>
    <w:rsid w:val="001702B2"/>
    <w:rsid w:val="0017075E"/>
    <w:rsid w:val="00170ED8"/>
    <w:rsid w:val="0017142E"/>
    <w:rsid w:val="00171603"/>
    <w:rsid w:val="00171804"/>
    <w:rsid w:val="001719E5"/>
    <w:rsid w:val="00172D8C"/>
    <w:rsid w:val="00173063"/>
    <w:rsid w:val="00173366"/>
    <w:rsid w:val="00173D4A"/>
    <w:rsid w:val="00173D85"/>
    <w:rsid w:val="001740CA"/>
    <w:rsid w:val="001743B2"/>
    <w:rsid w:val="00174547"/>
    <w:rsid w:val="00175483"/>
    <w:rsid w:val="00175564"/>
    <w:rsid w:val="001759F9"/>
    <w:rsid w:val="001765DD"/>
    <w:rsid w:val="0017669A"/>
    <w:rsid w:val="0017671C"/>
    <w:rsid w:val="00176AEF"/>
    <w:rsid w:val="00176D09"/>
    <w:rsid w:val="00176D18"/>
    <w:rsid w:val="00177528"/>
    <w:rsid w:val="001778E6"/>
    <w:rsid w:val="00177958"/>
    <w:rsid w:val="00177CD9"/>
    <w:rsid w:val="00180604"/>
    <w:rsid w:val="00180CB0"/>
    <w:rsid w:val="00180F27"/>
    <w:rsid w:val="001810C8"/>
    <w:rsid w:val="00181EE6"/>
    <w:rsid w:val="001821A8"/>
    <w:rsid w:val="001829FA"/>
    <w:rsid w:val="0018326F"/>
    <w:rsid w:val="00183510"/>
    <w:rsid w:val="0018370D"/>
    <w:rsid w:val="00183852"/>
    <w:rsid w:val="00183C8D"/>
    <w:rsid w:val="00183F7C"/>
    <w:rsid w:val="00184249"/>
    <w:rsid w:val="00184CC8"/>
    <w:rsid w:val="00184F0D"/>
    <w:rsid w:val="00184F7F"/>
    <w:rsid w:val="0018573F"/>
    <w:rsid w:val="00185B5F"/>
    <w:rsid w:val="0018669D"/>
    <w:rsid w:val="001866D7"/>
    <w:rsid w:val="00186DEA"/>
    <w:rsid w:val="00186E18"/>
    <w:rsid w:val="00187F78"/>
    <w:rsid w:val="001907C4"/>
    <w:rsid w:val="00190B72"/>
    <w:rsid w:val="0019101F"/>
    <w:rsid w:val="00191D55"/>
    <w:rsid w:val="0019201E"/>
    <w:rsid w:val="0019214A"/>
    <w:rsid w:val="001927F4"/>
    <w:rsid w:val="001928FA"/>
    <w:rsid w:val="001929DB"/>
    <w:rsid w:val="001932DB"/>
    <w:rsid w:val="001933E2"/>
    <w:rsid w:val="00193541"/>
    <w:rsid w:val="00193956"/>
    <w:rsid w:val="00193FB1"/>
    <w:rsid w:val="0019423B"/>
    <w:rsid w:val="00194C1A"/>
    <w:rsid w:val="00194C1C"/>
    <w:rsid w:val="0019553D"/>
    <w:rsid w:val="00195560"/>
    <w:rsid w:val="00195CC9"/>
    <w:rsid w:val="00195F35"/>
    <w:rsid w:val="001969B1"/>
    <w:rsid w:val="00196DC5"/>
    <w:rsid w:val="001970DE"/>
    <w:rsid w:val="001977E0"/>
    <w:rsid w:val="00197B2C"/>
    <w:rsid w:val="00197C39"/>
    <w:rsid w:val="001A0275"/>
    <w:rsid w:val="001A0556"/>
    <w:rsid w:val="001A0DDC"/>
    <w:rsid w:val="001A181F"/>
    <w:rsid w:val="001A1CCE"/>
    <w:rsid w:val="001A2279"/>
    <w:rsid w:val="001A29E7"/>
    <w:rsid w:val="001A2C5C"/>
    <w:rsid w:val="001A3353"/>
    <w:rsid w:val="001A362D"/>
    <w:rsid w:val="001A3DCC"/>
    <w:rsid w:val="001A3F69"/>
    <w:rsid w:val="001A45FF"/>
    <w:rsid w:val="001A4887"/>
    <w:rsid w:val="001A4992"/>
    <w:rsid w:val="001A4CDF"/>
    <w:rsid w:val="001A509D"/>
    <w:rsid w:val="001A51EB"/>
    <w:rsid w:val="001A520D"/>
    <w:rsid w:val="001A551B"/>
    <w:rsid w:val="001A5678"/>
    <w:rsid w:val="001A5CD8"/>
    <w:rsid w:val="001A5F47"/>
    <w:rsid w:val="001A6872"/>
    <w:rsid w:val="001A6FF4"/>
    <w:rsid w:val="001A727B"/>
    <w:rsid w:val="001A75C5"/>
    <w:rsid w:val="001A791A"/>
    <w:rsid w:val="001A7D4F"/>
    <w:rsid w:val="001B03B7"/>
    <w:rsid w:val="001B09AD"/>
    <w:rsid w:val="001B0D07"/>
    <w:rsid w:val="001B1D92"/>
    <w:rsid w:val="001B1E67"/>
    <w:rsid w:val="001B20C9"/>
    <w:rsid w:val="001B24CD"/>
    <w:rsid w:val="001B2958"/>
    <w:rsid w:val="001B3934"/>
    <w:rsid w:val="001B3B5D"/>
    <w:rsid w:val="001B3C54"/>
    <w:rsid w:val="001B3E87"/>
    <w:rsid w:val="001B409D"/>
    <w:rsid w:val="001B41A8"/>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A2A"/>
    <w:rsid w:val="001C0B27"/>
    <w:rsid w:val="001C0BC4"/>
    <w:rsid w:val="001C1A97"/>
    <w:rsid w:val="001C2342"/>
    <w:rsid w:val="001C235F"/>
    <w:rsid w:val="001C2710"/>
    <w:rsid w:val="001C3959"/>
    <w:rsid w:val="001C3D68"/>
    <w:rsid w:val="001C411C"/>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D096F"/>
    <w:rsid w:val="001D0DD1"/>
    <w:rsid w:val="001D0EB8"/>
    <w:rsid w:val="001D155F"/>
    <w:rsid w:val="001D2EAF"/>
    <w:rsid w:val="001D30A6"/>
    <w:rsid w:val="001D3507"/>
    <w:rsid w:val="001D35F6"/>
    <w:rsid w:val="001D363E"/>
    <w:rsid w:val="001D3853"/>
    <w:rsid w:val="001D3BBA"/>
    <w:rsid w:val="001D3CC4"/>
    <w:rsid w:val="001D4FE9"/>
    <w:rsid w:val="001D52E6"/>
    <w:rsid w:val="001D53A2"/>
    <w:rsid w:val="001D5449"/>
    <w:rsid w:val="001D5846"/>
    <w:rsid w:val="001D5966"/>
    <w:rsid w:val="001D5C94"/>
    <w:rsid w:val="001D5CBC"/>
    <w:rsid w:val="001D6C50"/>
    <w:rsid w:val="001D6E0B"/>
    <w:rsid w:val="001D6E2D"/>
    <w:rsid w:val="001D74FE"/>
    <w:rsid w:val="001E085D"/>
    <w:rsid w:val="001E08B2"/>
    <w:rsid w:val="001E1051"/>
    <w:rsid w:val="001E19F7"/>
    <w:rsid w:val="001E1E22"/>
    <w:rsid w:val="001E2756"/>
    <w:rsid w:val="001E27FE"/>
    <w:rsid w:val="001E2B65"/>
    <w:rsid w:val="001E2EDC"/>
    <w:rsid w:val="001E2F8C"/>
    <w:rsid w:val="001E3ADE"/>
    <w:rsid w:val="001E3C84"/>
    <w:rsid w:val="001E40D8"/>
    <w:rsid w:val="001E4190"/>
    <w:rsid w:val="001E43E1"/>
    <w:rsid w:val="001E44AD"/>
    <w:rsid w:val="001E44F5"/>
    <w:rsid w:val="001E4547"/>
    <w:rsid w:val="001E4EB7"/>
    <w:rsid w:val="001E59F8"/>
    <w:rsid w:val="001E5D5B"/>
    <w:rsid w:val="001E5DE6"/>
    <w:rsid w:val="001E7352"/>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FCA"/>
    <w:rsid w:val="001F47EF"/>
    <w:rsid w:val="001F4893"/>
    <w:rsid w:val="001F4904"/>
    <w:rsid w:val="001F4B5B"/>
    <w:rsid w:val="001F4D40"/>
    <w:rsid w:val="001F53DE"/>
    <w:rsid w:val="001F6169"/>
    <w:rsid w:val="001F6DC8"/>
    <w:rsid w:val="001F7A28"/>
    <w:rsid w:val="001F7B4F"/>
    <w:rsid w:val="001F7C6D"/>
    <w:rsid w:val="002007F1"/>
    <w:rsid w:val="00200928"/>
    <w:rsid w:val="00200C23"/>
    <w:rsid w:val="00201137"/>
    <w:rsid w:val="00201211"/>
    <w:rsid w:val="002017E2"/>
    <w:rsid w:val="00201D35"/>
    <w:rsid w:val="0020210B"/>
    <w:rsid w:val="002021E9"/>
    <w:rsid w:val="0020252D"/>
    <w:rsid w:val="00202F18"/>
    <w:rsid w:val="00202F59"/>
    <w:rsid w:val="00203036"/>
    <w:rsid w:val="00203077"/>
    <w:rsid w:val="0020313D"/>
    <w:rsid w:val="0020379F"/>
    <w:rsid w:val="00203BDA"/>
    <w:rsid w:val="00203C89"/>
    <w:rsid w:val="0020416E"/>
    <w:rsid w:val="002043AC"/>
    <w:rsid w:val="0020540C"/>
    <w:rsid w:val="00205882"/>
    <w:rsid w:val="00205CD7"/>
    <w:rsid w:val="0020655B"/>
    <w:rsid w:val="00206596"/>
    <w:rsid w:val="0020677C"/>
    <w:rsid w:val="00206CB7"/>
    <w:rsid w:val="002070A9"/>
    <w:rsid w:val="00207136"/>
    <w:rsid w:val="0020754F"/>
    <w:rsid w:val="0020769D"/>
    <w:rsid w:val="002077D6"/>
    <w:rsid w:val="00207C49"/>
    <w:rsid w:val="0021039D"/>
    <w:rsid w:val="00210504"/>
    <w:rsid w:val="00210CD7"/>
    <w:rsid w:val="00210FC5"/>
    <w:rsid w:val="002112DA"/>
    <w:rsid w:val="0021211A"/>
    <w:rsid w:val="00212651"/>
    <w:rsid w:val="0021268F"/>
    <w:rsid w:val="002128D0"/>
    <w:rsid w:val="0021294F"/>
    <w:rsid w:val="00212B22"/>
    <w:rsid w:val="00212C47"/>
    <w:rsid w:val="00212CD2"/>
    <w:rsid w:val="0021367C"/>
    <w:rsid w:val="002138FA"/>
    <w:rsid w:val="002139C7"/>
    <w:rsid w:val="00213E13"/>
    <w:rsid w:val="00213FA1"/>
    <w:rsid w:val="002140A6"/>
    <w:rsid w:val="00214136"/>
    <w:rsid w:val="0021420A"/>
    <w:rsid w:val="00214453"/>
    <w:rsid w:val="002146A8"/>
    <w:rsid w:val="00214C34"/>
    <w:rsid w:val="002151C8"/>
    <w:rsid w:val="0021533D"/>
    <w:rsid w:val="002153E2"/>
    <w:rsid w:val="002156B9"/>
    <w:rsid w:val="002157BD"/>
    <w:rsid w:val="00216096"/>
    <w:rsid w:val="0021696C"/>
    <w:rsid w:val="00216AAF"/>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F65"/>
    <w:rsid w:val="002230CF"/>
    <w:rsid w:val="002231C6"/>
    <w:rsid w:val="002238CC"/>
    <w:rsid w:val="00224784"/>
    <w:rsid w:val="00225551"/>
    <w:rsid w:val="00226172"/>
    <w:rsid w:val="002265C2"/>
    <w:rsid w:val="00226865"/>
    <w:rsid w:val="00226BB0"/>
    <w:rsid w:val="00226C82"/>
    <w:rsid w:val="00226CEA"/>
    <w:rsid w:val="0022743C"/>
    <w:rsid w:val="0022790A"/>
    <w:rsid w:val="002302DB"/>
    <w:rsid w:val="00230DAD"/>
    <w:rsid w:val="00230EF1"/>
    <w:rsid w:val="00231161"/>
    <w:rsid w:val="00231E3A"/>
    <w:rsid w:val="0023222B"/>
    <w:rsid w:val="0023247D"/>
    <w:rsid w:val="00232F09"/>
    <w:rsid w:val="00233BCC"/>
    <w:rsid w:val="0023413E"/>
    <w:rsid w:val="002342DD"/>
    <w:rsid w:val="002344A0"/>
    <w:rsid w:val="00234B22"/>
    <w:rsid w:val="002351AD"/>
    <w:rsid w:val="002351B7"/>
    <w:rsid w:val="002352F4"/>
    <w:rsid w:val="00235387"/>
    <w:rsid w:val="00235544"/>
    <w:rsid w:val="002355CA"/>
    <w:rsid w:val="002356BF"/>
    <w:rsid w:val="00235763"/>
    <w:rsid w:val="002357E6"/>
    <w:rsid w:val="002361CA"/>
    <w:rsid w:val="002366FB"/>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12BF"/>
    <w:rsid w:val="002416DE"/>
    <w:rsid w:val="0024178E"/>
    <w:rsid w:val="00241B49"/>
    <w:rsid w:val="00241C61"/>
    <w:rsid w:val="00241EA1"/>
    <w:rsid w:val="002420FD"/>
    <w:rsid w:val="002421B4"/>
    <w:rsid w:val="002429F1"/>
    <w:rsid w:val="00242CBB"/>
    <w:rsid w:val="00242D21"/>
    <w:rsid w:val="00242D5C"/>
    <w:rsid w:val="00242DE0"/>
    <w:rsid w:val="00243BA8"/>
    <w:rsid w:val="00243CC8"/>
    <w:rsid w:val="00243F28"/>
    <w:rsid w:val="00244262"/>
    <w:rsid w:val="00244359"/>
    <w:rsid w:val="002448A1"/>
    <w:rsid w:val="00244A81"/>
    <w:rsid w:val="00244DD6"/>
    <w:rsid w:val="002454BB"/>
    <w:rsid w:val="002457C9"/>
    <w:rsid w:val="00245AA1"/>
    <w:rsid w:val="00245F1A"/>
    <w:rsid w:val="00245FA7"/>
    <w:rsid w:val="0024608B"/>
    <w:rsid w:val="00246A67"/>
    <w:rsid w:val="002503F2"/>
    <w:rsid w:val="002504E3"/>
    <w:rsid w:val="002504F4"/>
    <w:rsid w:val="002505B6"/>
    <w:rsid w:val="002506CB"/>
    <w:rsid w:val="00250A1E"/>
    <w:rsid w:val="0025126E"/>
    <w:rsid w:val="0025177C"/>
    <w:rsid w:val="00251EA9"/>
    <w:rsid w:val="002521C5"/>
    <w:rsid w:val="002522BE"/>
    <w:rsid w:val="0025230A"/>
    <w:rsid w:val="0025337F"/>
    <w:rsid w:val="002534E6"/>
    <w:rsid w:val="0025351C"/>
    <w:rsid w:val="00254140"/>
    <w:rsid w:val="00254432"/>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57DC4"/>
    <w:rsid w:val="00257DEB"/>
    <w:rsid w:val="00260060"/>
    <w:rsid w:val="002602D4"/>
    <w:rsid w:val="00260794"/>
    <w:rsid w:val="002609BD"/>
    <w:rsid w:val="00260DC3"/>
    <w:rsid w:val="002617E4"/>
    <w:rsid w:val="00261AF9"/>
    <w:rsid w:val="00262256"/>
    <w:rsid w:val="002625DD"/>
    <w:rsid w:val="002626C0"/>
    <w:rsid w:val="00263019"/>
    <w:rsid w:val="0026311F"/>
    <w:rsid w:val="00263CEB"/>
    <w:rsid w:val="002640A5"/>
    <w:rsid w:val="002643DA"/>
    <w:rsid w:val="002648B0"/>
    <w:rsid w:val="00265752"/>
    <w:rsid w:val="00265D91"/>
    <w:rsid w:val="00265E6D"/>
    <w:rsid w:val="0026661C"/>
    <w:rsid w:val="00266E6B"/>
    <w:rsid w:val="00266FFD"/>
    <w:rsid w:val="00267592"/>
    <w:rsid w:val="00267DBA"/>
    <w:rsid w:val="002701A0"/>
    <w:rsid w:val="002709DB"/>
    <w:rsid w:val="00271179"/>
    <w:rsid w:val="0027121D"/>
    <w:rsid w:val="002717A3"/>
    <w:rsid w:val="00272414"/>
    <w:rsid w:val="002726CB"/>
    <w:rsid w:val="002728C9"/>
    <w:rsid w:val="00272FCA"/>
    <w:rsid w:val="0027359C"/>
    <w:rsid w:val="00273AA1"/>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A04"/>
    <w:rsid w:val="00277C3F"/>
    <w:rsid w:val="00277D6E"/>
    <w:rsid w:val="002802E9"/>
    <w:rsid w:val="002802F5"/>
    <w:rsid w:val="00280403"/>
    <w:rsid w:val="00280862"/>
    <w:rsid w:val="00280ACF"/>
    <w:rsid w:val="00280C3C"/>
    <w:rsid w:val="00281228"/>
    <w:rsid w:val="00281F30"/>
    <w:rsid w:val="00281FAD"/>
    <w:rsid w:val="002821A6"/>
    <w:rsid w:val="00282283"/>
    <w:rsid w:val="00282534"/>
    <w:rsid w:val="00282907"/>
    <w:rsid w:val="00283915"/>
    <w:rsid w:val="00283D10"/>
    <w:rsid w:val="00283D58"/>
    <w:rsid w:val="00284D1E"/>
    <w:rsid w:val="00284F82"/>
    <w:rsid w:val="00285034"/>
    <w:rsid w:val="00285282"/>
    <w:rsid w:val="00285284"/>
    <w:rsid w:val="00285631"/>
    <w:rsid w:val="0028643D"/>
    <w:rsid w:val="002866C7"/>
    <w:rsid w:val="00286779"/>
    <w:rsid w:val="002871E0"/>
    <w:rsid w:val="00287506"/>
    <w:rsid w:val="002877E2"/>
    <w:rsid w:val="002879EF"/>
    <w:rsid w:val="00287B49"/>
    <w:rsid w:val="0029024A"/>
    <w:rsid w:val="00290C10"/>
    <w:rsid w:val="00290D5F"/>
    <w:rsid w:val="00290F60"/>
    <w:rsid w:val="00290FFD"/>
    <w:rsid w:val="002911A8"/>
    <w:rsid w:val="002912F0"/>
    <w:rsid w:val="00291556"/>
    <w:rsid w:val="00291567"/>
    <w:rsid w:val="00291863"/>
    <w:rsid w:val="0029239F"/>
    <w:rsid w:val="0029249B"/>
    <w:rsid w:val="00292619"/>
    <w:rsid w:val="00292C8C"/>
    <w:rsid w:val="00292C9D"/>
    <w:rsid w:val="0029319E"/>
    <w:rsid w:val="002936A5"/>
    <w:rsid w:val="002938A8"/>
    <w:rsid w:val="00293E41"/>
    <w:rsid w:val="00293F4E"/>
    <w:rsid w:val="00294A7C"/>
    <w:rsid w:val="00295025"/>
    <w:rsid w:val="00295560"/>
    <w:rsid w:val="00295B3F"/>
    <w:rsid w:val="00296077"/>
    <w:rsid w:val="002967CA"/>
    <w:rsid w:val="00296C6D"/>
    <w:rsid w:val="002972F0"/>
    <w:rsid w:val="00297314"/>
    <w:rsid w:val="002974BF"/>
    <w:rsid w:val="00297663"/>
    <w:rsid w:val="00297D26"/>
    <w:rsid w:val="002A0101"/>
    <w:rsid w:val="002A0464"/>
    <w:rsid w:val="002A04D2"/>
    <w:rsid w:val="002A0A43"/>
    <w:rsid w:val="002A0E29"/>
    <w:rsid w:val="002A18BE"/>
    <w:rsid w:val="002A1BEA"/>
    <w:rsid w:val="002A1CAD"/>
    <w:rsid w:val="002A22A1"/>
    <w:rsid w:val="002A2461"/>
    <w:rsid w:val="002A2510"/>
    <w:rsid w:val="002A2F10"/>
    <w:rsid w:val="002A360E"/>
    <w:rsid w:val="002A3ABA"/>
    <w:rsid w:val="002A3E90"/>
    <w:rsid w:val="002A3FCD"/>
    <w:rsid w:val="002A4278"/>
    <w:rsid w:val="002A4299"/>
    <w:rsid w:val="002A44E2"/>
    <w:rsid w:val="002A45D8"/>
    <w:rsid w:val="002A496E"/>
    <w:rsid w:val="002A4A51"/>
    <w:rsid w:val="002A4B57"/>
    <w:rsid w:val="002A5489"/>
    <w:rsid w:val="002A5985"/>
    <w:rsid w:val="002A5EC3"/>
    <w:rsid w:val="002A6746"/>
    <w:rsid w:val="002A6A8E"/>
    <w:rsid w:val="002A6D2B"/>
    <w:rsid w:val="002A74CF"/>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A6"/>
    <w:rsid w:val="002B4D65"/>
    <w:rsid w:val="002B557C"/>
    <w:rsid w:val="002B563E"/>
    <w:rsid w:val="002B5BD6"/>
    <w:rsid w:val="002B5E43"/>
    <w:rsid w:val="002B6344"/>
    <w:rsid w:val="002B699D"/>
    <w:rsid w:val="002B6B19"/>
    <w:rsid w:val="002B6E30"/>
    <w:rsid w:val="002B7006"/>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4A5"/>
    <w:rsid w:val="002C1FF8"/>
    <w:rsid w:val="002C211D"/>
    <w:rsid w:val="002C22B6"/>
    <w:rsid w:val="002C247F"/>
    <w:rsid w:val="002C2608"/>
    <w:rsid w:val="002C2645"/>
    <w:rsid w:val="002C2D40"/>
    <w:rsid w:val="002C362D"/>
    <w:rsid w:val="002C3953"/>
    <w:rsid w:val="002C3DC8"/>
    <w:rsid w:val="002C463A"/>
    <w:rsid w:val="002C4710"/>
    <w:rsid w:val="002C4ED9"/>
    <w:rsid w:val="002C5667"/>
    <w:rsid w:val="002C5BBA"/>
    <w:rsid w:val="002C5D62"/>
    <w:rsid w:val="002C6104"/>
    <w:rsid w:val="002C6318"/>
    <w:rsid w:val="002C6675"/>
    <w:rsid w:val="002C6865"/>
    <w:rsid w:val="002C6DF7"/>
    <w:rsid w:val="002C7649"/>
    <w:rsid w:val="002C774A"/>
    <w:rsid w:val="002C7B96"/>
    <w:rsid w:val="002D06D6"/>
    <w:rsid w:val="002D078F"/>
    <w:rsid w:val="002D093D"/>
    <w:rsid w:val="002D1147"/>
    <w:rsid w:val="002D15A9"/>
    <w:rsid w:val="002D16FF"/>
    <w:rsid w:val="002D17AB"/>
    <w:rsid w:val="002D2279"/>
    <w:rsid w:val="002D22AA"/>
    <w:rsid w:val="002D2519"/>
    <w:rsid w:val="002D2AA1"/>
    <w:rsid w:val="002D2B65"/>
    <w:rsid w:val="002D2F94"/>
    <w:rsid w:val="002D377B"/>
    <w:rsid w:val="002D4035"/>
    <w:rsid w:val="002D4520"/>
    <w:rsid w:val="002D4BA2"/>
    <w:rsid w:val="002D4C07"/>
    <w:rsid w:val="002D4D31"/>
    <w:rsid w:val="002D4EE6"/>
    <w:rsid w:val="002D5195"/>
    <w:rsid w:val="002D5884"/>
    <w:rsid w:val="002D5FB6"/>
    <w:rsid w:val="002D60BA"/>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09CD"/>
    <w:rsid w:val="002E11E2"/>
    <w:rsid w:val="002E156D"/>
    <w:rsid w:val="002E1B11"/>
    <w:rsid w:val="002E32A4"/>
    <w:rsid w:val="002E3EE0"/>
    <w:rsid w:val="002E4A65"/>
    <w:rsid w:val="002E4D1F"/>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78"/>
    <w:rsid w:val="002E765E"/>
    <w:rsid w:val="002E76E2"/>
    <w:rsid w:val="002E78FC"/>
    <w:rsid w:val="002E79C0"/>
    <w:rsid w:val="002E7B11"/>
    <w:rsid w:val="002F0232"/>
    <w:rsid w:val="002F052A"/>
    <w:rsid w:val="002F0A15"/>
    <w:rsid w:val="002F124D"/>
    <w:rsid w:val="002F147D"/>
    <w:rsid w:val="002F1DC3"/>
    <w:rsid w:val="002F214C"/>
    <w:rsid w:val="002F2222"/>
    <w:rsid w:val="002F22CC"/>
    <w:rsid w:val="002F23F7"/>
    <w:rsid w:val="002F25B1"/>
    <w:rsid w:val="002F2CF0"/>
    <w:rsid w:val="002F3228"/>
    <w:rsid w:val="002F3A91"/>
    <w:rsid w:val="002F3C7A"/>
    <w:rsid w:val="002F3FA0"/>
    <w:rsid w:val="002F437B"/>
    <w:rsid w:val="002F4476"/>
    <w:rsid w:val="002F48D6"/>
    <w:rsid w:val="002F4C5D"/>
    <w:rsid w:val="002F4CC1"/>
    <w:rsid w:val="002F5E47"/>
    <w:rsid w:val="002F5FED"/>
    <w:rsid w:val="002F6278"/>
    <w:rsid w:val="002F62CB"/>
    <w:rsid w:val="002F6707"/>
    <w:rsid w:val="002F7043"/>
    <w:rsid w:val="002F776A"/>
    <w:rsid w:val="002F7780"/>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A14"/>
    <w:rsid w:val="00313C6D"/>
    <w:rsid w:val="0031403A"/>
    <w:rsid w:val="00314056"/>
    <w:rsid w:val="00315119"/>
    <w:rsid w:val="003154CD"/>
    <w:rsid w:val="00315D43"/>
    <w:rsid w:val="003163BD"/>
    <w:rsid w:val="00316464"/>
    <w:rsid w:val="003178FD"/>
    <w:rsid w:val="00317AF2"/>
    <w:rsid w:val="00317DEF"/>
    <w:rsid w:val="00320763"/>
    <w:rsid w:val="00320CAE"/>
    <w:rsid w:val="00320D65"/>
    <w:rsid w:val="0032173E"/>
    <w:rsid w:val="00321819"/>
    <w:rsid w:val="00321E1B"/>
    <w:rsid w:val="0032205D"/>
    <w:rsid w:val="003220D6"/>
    <w:rsid w:val="003222C1"/>
    <w:rsid w:val="00322A67"/>
    <w:rsid w:val="00322BF3"/>
    <w:rsid w:val="00323092"/>
    <w:rsid w:val="003234D1"/>
    <w:rsid w:val="00323659"/>
    <w:rsid w:val="00323922"/>
    <w:rsid w:val="00323D47"/>
    <w:rsid w:val="003246D7"/>
    <w:rsid w:val="00324D8B"/>
    <w:rsid w:val="0032528A"/>
    <w:rsid w:val="00325784"/>
    <w:rsid w:val="003257CB"/>
    <w:rsid w:val="00325BD7"/>
    <w:rsid w:val="00325E81"/>
    <w:rsid w:val="0032602D"/>
    <w:rsid w:val="003261E7"/>
    <w:rsid w:val="003261F3"/>
    <w:rsid w:val="003263A3"/>
    <w:rsid w:val="003266C9"/>
    <w:rsid w:val="00326D1B"/>
    <w:rsid w:val="00326F8C"/>
    <w:rsid w:val="00327290"/>
    <w:rsid w:val="003272DF"/>
    <w:rsid w:val="00327526"/>
    <w:rsid w:val="003276EC"/>
    <w:rsid w:val="00327806"/>
    <w:rsid w:val="00327D84"/>
    <w:rsid w:val="003302F1"/>
    <w:rsid w:val="0033041B"/>
    <w:rsid w:val="00330552"/>
    <w:rsid w:val="0033077D"/>
    <w:rsid w:val="00330937"/>
    <w:rsid w:val="00330F36"/>
    <w:rsid w:val="003316B7"/>
    <w:rsid w:val="00331D00"/>
    <w:rsid w:val="003324D7"/>
    <w:rsid w:val="003329D3"/>
    <w:rsid w:val="00332DB3"/>
    <w:rsid w:val="00332F39"/>
    <w:rsid w:val="00334173"/>
    <w:rsid w:val="003343AA"/>
    <w:rsid w:val="0033494C"/>
    <w:rsid w:val="003359D0"/>
    <w:rsid w:val="00335C6B"/>
    <w:rsid w:val="00335D9C"/>
    <w:rsid w:val="00335FD9"/>
    <w:rsid w:val="00335FEC"/>
    <w:rsid w:val="0033600D"/>
    <w:rsid w:val="003364B0"/>
    <w:rsid w:val="0033660F"/>
    <w:rsid w:val="0033684D"/>
    <w:rsid w:val="00336A20"/>
    <w:rsid w:val="00336FFE"/>
    <w:rsid w:val="003371ED"/>
    <w:rsid w:val="0033752C"/>
    <w:rsid w:val="00337850"/>
    <w:rsid w:val="0033790D"/>
    <w:rsid w:val="0034010D"/>
    <w:rsid w:val="0034028C"/>
    <w:rsid w:val="00340BD2"/>
    <w:rsid w:val="003417BB"/>
    <w:rsid w:val="00341EDB"/>
    <w:rsid w:val="0034291E"/>
    <w:rsid w:val="00342C19"/>
    <w:rsid w:val="00342C7F"/>
    <w:rsid w:val="00343224"/>
    <w:rsid w:val="003434ED"/>
    <w:rsid w:val="00343F46"/>
    <w:rsid w:val="0034408B"/>
    <w:rsid w:val="003441D8"/>
    <w:rsid w:val="00344539"/>
    <w:rsid w:val="00344E46"/>
    <w:rsid w:val="00344ECB"/>
    <w:rsid w:val="00345172"/>
    <w:rsid w:val="00345288"/>
    <w:rsid w:val="00345B00"/>
    <w:rsid w:val="00345EBD"/>
    <w:rsid w:val="0034602B"/>
    <w:rsid w:val="003461B2"/>
    <w:rsid w:val="00346C9B"/>
    <w:rsid w:val="00346CFA"/>
    <w:rsid w:val="00347103"/>
    <w:rsid w:val="00347253"/>
    <w:rsid w:val="00347340"/>
    <w:rsid w:val="00347B40"/>
    <w:rsid w:val="00347D43"/>
    <w:rsid w:val="00350825"/>
    <w:rsid w:val="00350BB9"/>
    <w:rsid w:val="0035104A"/>
    <w:rsid w:val="00351265"/>
    <w:rsid w:val="0035168E"/>
    <w:rsid w:val="0035183E"/>
    <w:rsid w:val="00351B3E"/>
    <w:rsid w:val="00351BC6"/>
    <w:rsid w:val="00352136"/>
    <w:rsid w:val="00352C3E"/>
    <w:rsid w:val="00353048"/>
    <w:rsid w:val="00353507"/>
    <w:rsid w:val="0035372B"/>
    <w:rsid w:val="003538E6"/>
    <w:rsid w:val="00353AAB"/>
    <w:rsid w:val="003543CC"/>
    <w:rsid w:val="003546D9"/>
    <w:rsid w:val="00354B35"/>
    <w:rsid w:val="003555FB"/>
    <w:rsid w:val="00355836"/>
    <w:rsid w:val="00355BC7"/>
    <w:rsid w:val="00355EDA"/>
    <w:rsid w:val="0035653C"/>
    <w:rsid w:val="00356615"/>
    <w:rsid w:val="003566EC"/>
    <w:rsid w:val="00356914"/>
    <w:rsid w:val="00357132"/>
    <w:rsid w:val="00357B3B"/>
    <w:rsid w:val="00357F68"/>
    <w:rsid w:val="003600E6"/>
    <w:rsid w:val="00360649"/>
    <w:rsid w:val="003607BB"/>
    <w:rsid w:val="00360AC3"/>
    <w:rsid w:val="00360E25"/>
    <w:rsid w:val="00360F55"/>
    <w:rsid w:val="00361080"/>
    <w:rsid w:val="003611D5"/>
    <w:rsid w:val="00361C59"/>
    <w:rsid w:val="00361CE1"/>
    <w:rsid w:val="00361E49"/>
    <w:rsid w:val="00361F7A"/>
    <w:rsid w:val="00362623"/>
    <w:rsid w:val="0036283C"/>
    <w:rsid w:val="0036343B"/>
    <w:rsid w:val="00363552"/>
    <w:rsid w:val="003639D5"/>
    <w:rsid w:val="00363A13"/>
    <w:rsid w:val="003646E6"/>
    <w:rsid w:val="0036470B"/>
    <w:rsid w:val="003647DD"/>
    <w:rsid w:val="00364A41"/>
    <w:rsid w:val="00365340"/>
    <w:rsid w:val="0036569E"/>
    <w:rsid w:val="00365882"/>
    <w:rsid w:val="00366731"/>
    <w:rsid w:val="00366D27"/>
    <w:rsid w:val="003675B5"/>
    <w:rsid w:val="00367E11"/>
    <w:rsid w:val="0037093A"/>
    <w:rsid w:val="00370C1B"/>
    <w:rsid w:val="00370D82"/>
    <w:rsid w:val="00371114"/>
    <w:rsid w:val="0037196E"/>
    <w:rsid w:val="003727D1"/>
    <w:rsid w:val="00372B8A"/>
    <w:rsid w:val="00372BF3"/>
    <w:rsid w:val="003731FE"/>
    <w:rsid w:val="003735F6"/>
    <w:rsid w:val="0037397C"/>
    <w:rsid w:val="00373A5D"/>
    <w:rsid w:val="00373EFB"/>
    <w:rsid w:val="00373F7D"/>
    <w:rsid w:val="003740FD"/>
    <w:rsid w:val="00374E79"/>
    <w:rsid w:val="0037540A"/>
    <w:rsid w:val="0037597D"/>
    <w:rsid w:val="00375A4C"/>
    <w:rsid w:val="00375AA7"/>
    <w:rsid w:val="00375D4F"/>
    <w:rsid w:val="00375ED2"/>
    <w:rsid w:val="003761EB"/>
    <w:rsid w:val="0037711F"/>
    <w:rsid w:val="003771A5"/>
    <w:rsid w:val="00377CDF"/>
    <w:rsid w:val="00380821"/>
    <w:rsid w:val="003810B1"/>
    <w:rsid w:val="0038176D"/>
    <w:rsid w:val="003817C3"/>
    <w:rsid w:val="00382341"/>
    <w:rsid w:val="00382699"/>
    <w:rsid w:val="003835FA"/>
    <w:rsid w:val="00384388"/>
    <w:rsid w:val="003845E9"/>
    <w:rsid w:val="00384660"/>
    <w:rsid w:val="00384CFE"/>
    <w:rsid w:val="0038586D"/>
    <w:rsid w:val="00385C9D"/>
    <w:rsid w:val="00386653"/>
    <w:rsid w:val="00386944"/>
    <w:rsid w:val="00386C50"/>
    <w:rsid w:val="00386D1C"/>
    <w:rsid w:val="003870EF"/>
    <w:rsid w:val="00387437"/>
    <w:rsid w:val="0038772F"/>
    <w:rsid w:val="003877CD"/>
    <w:rsid w:val="003903A2"/>
    <w:rsid w:val="00390403"/>
    <w:rsid w:val="00390C9F"/>
    <w:rsid w:val="00390D60"/>
    <w:rsid w:val="0039184E"/>
    <w:rsid w:val="003919B8"/>
    <w:rsid w:val="00391C82"/>
    <w:rsid w:val="00391D58"/>
    <w:rsid w:val="00392313"/>
    <w:rsid w:val="00392AF0"/>
    <w:rsid w:val="00393348"/>
    <w:rsid w:val="00393815"/>
    <w:rsid w:val="00393CD0"/>
    <w:rsid w:val="00393F60"/>
    <w:rsid w:val="003940C5"/>
    <w:rsid w:val="003943AE"/>
    <w:rsid w:val="003947D7"/>
    <w:rsid w:val="00394E1C"/>
    <w:rsid w:val="00394E95"/>
    <w:rsid w:val="0039511F"/>
    <w:rsid w:val="0039529D"/>
    <w:rsid w:val="00395308"/>
    <w:rsid w:val="00395898"/>
    <w:rsid w:val="003959CC"/>
    <w:rsid w:val="00395B73"/>
    <w:rsid w:val="00395C66"/>
    <w:rsid w:val="00395D00"/>
    <w:rsid w:val="00395EE4"/>
    <w:rsid w:val="003966AF"/>
    <w:rsid w:val="00396ADD"/>
    <w:rsid w:val="00396C26"/>
    <w:rsid w:val="0039736A"/>
    <w:rsid w:val="003973C4"/>
    <w:rsid w:val="0039779E"/>
    <w:rsid w:val="0039790C"/>
    <w:rsid w:val="00397A79"/>
    <w:rsid w:val="00397AA8"/>
    <w:rsid w:val="003A0B7F"/>
    <w:rsid w:val="003A15C5"/>
    <w:rsid w:val="003A1BD2"/>
    <w:rsid w:val="003A1DA5"/>
    <w:rsid w:val="003A2280"/>
    <w:rsid w:val="003A2B9E"/>
    <w:rsid w:val="003A2DD8"/>
    <w:rsid w:val="003A375E"/>
    <w:rsid w:val="003A402D"/>
    <w:rsid w:val="003A41CC"/>
    <w:rsid w:val="003A5013"/>
    <w:rsid w:val="003A5188"/>
    <w:rsid w:val="003A571D"/>
    <w:rsid w:val="003A57D5"/>
    <w:rsid w:val="003A5902"/>
    <w:rsid w:val="003A5AF4"/>
    <w:rsid w:val="003A6164"/>
    <w:rsid w:val="003A64D1"/>
    <w:rsid w:val="003A6644"/>
    <w:rsid w:val="003A69D6"/>
    <w:rsid w:val="003A70D8"/>
    <w:rsid w:val="003A7426"/>
    <w:rsid w:val="003A75D8"/>
    <w:rsid w:val="003A787B"/>
    <w:rsid w:val="003A7EBD"/>
    <w:rsid w:val="003A7F84"/>
    <w:rsid w:val="003B01D2"/>
    <w:rsid w:val="003B04F1"/>
    <w:rsid w:val="003B0679"/>
    <w:rsid w:val="003B139A"/>
    <w:rsid w:val="003B1813"/>
    <w:rsid w:val="003B197A"/>
    <w:rsid w:val="003B1CD4"/>
    <w:rsid w:val="003B1D53"/>
    <w:rsid w:val="003B226E"/>
    <w:rsid w:val="003B298F"/>
    <w:rsid w:val="003B2C76"/>
    <w:rsid w:val="003B2F65"/>
    <w:rsid w:val="003B3748"/>
    <w:rsid w:val="003B3977"/>
    <w:rsid w:val="003B3AB5"/>
    <w:rsid w:val="003B41CD"/>
    <w:rsid w:val="003B564A"/>
    <w:rsid w:val="003B5F94"/>
    <w:rsid w:val="003B62CD"/>
    <w:rsid w:val="003B6572"/>
    <w:rsid w:val="003B6CEE"/>
    <w:rsid w:val="003B6D43"/>
    <w:rsid w:val="003B6D8C"/>
    <w:rsid w:val="003B6E69"/>
    <w:rsid w:val="003B73F7"/>
    <w:rsid w:val="003B76AB"/>
    <w:rsid w:val="003B787F"/>
    <w:rsid w:val="003B7C4C"/>
    <w:rsid w:val="003B7F46"/>
    <w:rsid w:val="003C05C2"/>
    <w:rsid w:val="003C07AE"/>
    <w:rsid w:val="003C09E8"/>
    <w:rsid w:val="003C0C68"/>
    <w:rsid w:val="003C0FE1"/>
    <w:rsid w:val="003C24DA"/>
    <w:rsid w:val="003C3267"/>
    <w:rsid w:val="003C3403"/>
    <w:rsid w:val="003C362D"/>
    <w:rsid w:val="003C39CD"/>
    <w:rsid w:val="003C3D45"/>
    <w:rsid w:val="003C3D71"/>
    <w:rsid w:val="003C3F11"/>
    <w:rsid w:val="003C3FD5"/>
    <w:rsid w:val="003C5004"/>
    <w:rsid w:val="003C5336"/>
    <w:rsid w:val="003C570C"/>
    <w:rsid w:val="003C571F"/>
    <w:rsid w:val="003C574E"/>
    <w:rsid w:val="003C5AF7"/>
    <w:rsid w:val="003C6B95"/>
    <w:rsid w:val="003C76D2"/>
    <w:rsid w:val="003C7A9E"/>
    <w:rsid w:val="003C7ED7"/>
    <w:rsid w:val="003D0A0C"/>
    <w:rsid w:val="003D19EF"/>
    <w:rsid w:val="003D1CBA"/>
    <w:rsid w:val="003D2438"/>
    <w:rsid w:val="003D2926"/>
    <w:rsid w:val="003D3672"/>
    <w:rsid w:val="003D37FC"/>
    <w:rsid w:val="003D3AFA"/>
    <w:rsid w:val="003D3B4F"/>
    <w:rsid w:val="003D41DB"/>
    <w:rsid w:val="003D45F8"/>
    <w:rsid w:val="003D485D"/>
    <w:rsid w:val="003D53E7"/>
    <w:rsid w:val="003D57E2"/>
    <w:rsid w:val="003D5B2D"/>
    <w:rsid w:val="003D652C"/>
    <w:rsid w:val="003D6789"/>
    <w:rsid w:val="003D69BC"/>
    <w:rsid w:val="003D6AC4"/>
    <w:rsid w:val="003D6D1D"/>
    <w:rsid w:val="003D6E9F"/>
    <w:rsid w:val="003D7850"/>
    <w:rsid w:val="003E01F3"/>
    <w:rsid w:val="003E098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34C"/>
    <w:rsid w:val="003E5948"/>
    <w:rsid w:val="003E5A23"/>
    <w:rsid w:val="003E5D89"/>
    <w:rsid w:val="003E5FF7"/>
    <w:rsid w:val="003E63D8"/>
    <w:rsid w:val="003E63FD"/>
    <w:rsid w:val="003E6457"/>
    <w:rsid w:val="003E6676"/>
    <w:rsid w:val="003E677E"/>
    <w:rsid w:val="003E6A98"/>
    <w:rsid w:val="003E6FA8"/>
    <w:rsid w:val="003E7395"/>
    <w:rsid w:val="003E79F0"/>
    <w:rsid w:val="003E7CE2"/>
    <w:rsid w:val="003E7FF4"/>
    <w:rsid w:val="003F01D8"/>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CD7"/>
    <w:rsid w:val="003F3F98"/>
    <w:rsid w:val="003F43E2"/>
    <w:rsid w:val="003F4472"/>
    <w:rsid w:val="003F44CF"/>
    <w:rsid w:val="003F4581"/>
    <w:rsid w:val="003F56D4"/>
    <w:rsid w:val="003F5A2F"/>
    <w:rsid w:val="003F5B55"/>
    <w:rsid w:val="003F63E1"/>
    <w:rsid w:val="003F6C92"/>
    <w:rsid w:val="003F6ED2"/>
    <w:rsid w:val="003F701F"/>
    <w:rsid w:val="003F7C3A"/>
    <w:rsid w:val="004003AC"/>
    <w:rsid w:val="0040054A"/>
    <w:rsid w:val="00400744"/>
    <w:rsid w:val="00400C31"/>
    <w:rsid w:val="00400CA3"/>
    <w:rsid w:val="00401059"/>
    <w:rsid w:val="004010E5"/>
    <w:rsid w:val="00401606"/>
    <w:rsid w:val="00401CA2"/>
    <w:rsid w:val="00402AA6"/>
    <w:rsid w:val="00402BF3"/>
    <w:rsid w:val="004039D7"/>
    <w:rsid w:val="00404B3F"/>
    <w:rsid w:val="00404D63"/>
    <w:rsid w:val="00404E5F"/>
    <w:rsid w:val="0040568D"/>
    <w:rsid w:val="00405841"/>
    <w:rsid w:val="00405E3B"/>
    <w:rsid w:val="00405F02"/>
    <w:rsid w:val="00406A66"/>
    <w:rsid w:val="00406C82"/>
    <w:rsid w:val="0040734D"/>
    <w:rsid w:val="004074AB"/>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AE"/>
    <w:rsid w:val="004160AF"/>
    <w:rsid w:val="004161C9"/>
    <w:rsid w:val="00416617"/>
    <w:rsid w:val="0041666D"/>
    <w:rsid w:val="00417380"/>
    <w:rsid w:val="00417DC0"/>
    <w:rsid w:val="00417FBC"/>
    <w:rsid w:val="004209B9"/>
    <w:rsid w:val="00420D81"/>
    <w:rsid w:val="00421071"/>
    <w:rsid w:val="0042112C"/>
    <w:rsid w:val="004213CE"/>
    <w:rsid w:val="00421970"/>
    <w:rsid w:val="00421BAD"/>
    <w:rsid w:val="00421F83"/>
    <w:rsid w:val="004223DF"/>
    <w:rsid w:val="00422847"/>
    <w:rsid w:val="00422878"/>
    <w:rsid w:val="00422A68"/>
    <w:rsid w:val="00423437"/>
    <w:rsid w:val="00423D1D"/>
    <w:rsid w:val="004242F7"/>
    <w:rsid w:val="00424A1A"/>
    <w:rsid w:val="00424AB6"/>
    <w:rsid w:val="0042562C"/>
    <w:rsid w:val="004256ED"/>
    <w:rsid w:val="00425A50"/>
    <w:rsid w:val="00425BCC"/>
    <w:rsid w:val="00425BDB"/>
    <w:rsid w:val="00425DD1"/>
    <w:rsid w:val="00425E4D"/>
    <w:rsid w:val="00426502"/>
    <w:rsid w:val="0042664E"/>
    <w:rsid w:val="00426BEB"/>
    <w:rsid w:val="00426D6C"/>
    <w:rsid w:val="0042717D"/>
    <w:rsid w:val="0042745D"/>
    <w:rsid w:val="00427845"/>
    <w:rsid w:val="00427AEF"/>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3186"/>
    <w:rsid w:val="00433A82"/>
    <w:rsid w:val="00433DE4"/>
    <w:rsid w:val="00433E00"/>
    <w:rsid w:val="00434636"/>
    <w:rsid w:val="004348BC"/>
    <w:rsid w:val="004348BF"/>
    <w:rsid w:val="0043490C"/>
    <w:rsid w:val="0043505A"/>
    <w:rsid w:val="004352ED"/>
    <w:rsid w:val="00435AB3"/>
    <w:rsid w:val="00435BF4"/>
    <w:rsid w:val="00435EA4"/>
    <w:rsid w:val="00435FBE"/>
    <w:rsid w:val="00436C67"/>
    <w:rsid w:val="004376F5"/>
    <w:rsid w:val="00437737"/>
    <w:rsid w:val="00437738"/>
    <w:rsid w:val="00437C30"/>
    <w:rsid w:val="00437CE5"/>
    <w:rsid w:val="00437F16"/>
    <w:rsid w:val="004402C0"/>
    <w:rsid w:val="004410CA"/>
    <w:rsid w:val="004413F4"/>
    <w:rsid w:val="0044145D"/>
    <w:rsid w:val="004418F2"/>
    <w:rsid w:val="00441D12"/>
    <w:rsid w:val="00441FF3"/>
    <w:rsid w:val="00442400"/>
    <w:rsid w:val="00442C2B"/>
    <w:rsid w:val="00442D02"/>
    <w:rsid w:val="00443283"/>
    <w:rsid w:val="00443882"/>
    <w:rsid w:val="00443B9C"/>
    <w:rsid w:val="00443FE5"/>
    <w:rsid w:val="00444035"/>
    <w:rsid w:val="0044435E"/>
    <w:rsid w:val="00444530"/>
    <w:rsid w:val="00444904"/>
    <w:rsid w:val="0044492A"/>
    <w:rsid w:val="00444F2C"/>
    <w:rsid w:val="00445039"/>
    <w:rsid w:val="0044523C"/>
    <w:rsid w:val="00445412"/>
    <w:rsid w:val="00445F7F"/>
    <w:rsid w:val="004463B0"/>
    <w:rsid w:val="00446870"/>
    <w:rsid w:val="00446F7D"/>
    <w:rsid w:val="00446FE1"/>
    <w:rsid w:val="0044719C"/>
    <w:rsid w:val="00447304"/>
    <w:rsid w:val="0044730C"/>
    <w:rsid w:val="00447CA5"/>
    <w:rsid w:val="00450175"/>
    <w:rsid w:val="00450472"/>
    <w:rsid w:val="004504A1"/>
    <w:rsid w:val="0045056F"/>
    <w:rsid w:val="004507BE"/>
    <w:rsid w:val="00450C22"/>
    <w:rsid w:val="00451443"/>
    <w:rsid w:val="004517C8"/>
    <w:rsid w:val="004518FC"/>
    <w:rsid w:val="00452261"/>
    <w:rsid w:val="004522B2"/>
    <w:rsid w:val="0045235D"/>
    <w:rsid w:val="00452567"/>
    <w:rsid w:val="00452D82"/>
    <w:rsid w:val="0045331B"/>
    <w:rsid w:val="004536E2"/>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A9"/>
    <w:rsid w:val="004600E1"/>
    <w:rsid w:val="004601BD"/>
    <w:rsid w:val="004602B6"/>
    <w:rsid w:val="0046077E"/>
    <w:rsid w:val="004608D3"/>
    <w:rsid w:val="00461668"/>
    <w:rsid w:val="0046268D"/>
    <w:rsid w:val="004630AB"/>
    <w:rsid w:val="00463271"/>
    <w:rsid w:val="004632BB"/>
    <w:rsid w:val="00463A0E"/>
    <w:rsid w:val="00463A16"/>
    <w:rsid w:val="00463AF1"/>
    <w:rsid w:val="00463E46"/>
    <w:rsid w:val="00463E60"/>
    <w:rsid w:val="004642E9"/>
    <w:rsid w:val="004646C3"/>
    <w:rsid w:val="004647BE"/>
    <w:rsid w:val="00464C7A"/>
    <w:rsid w:val="00465B9C"/>
    <w:rsid w:val="00465BF5"/>
    <w:rsid w:val="00465DA7"/>
    <w:rsid w:val="00465E8A"/>
    <w:rsid w:val="00465F1A"/>
    <w:rsid w:val="00466003"/>
    <w:rsid w:val="00466487"/>
    <w:rsid w:val="00466693"/>
    <w:rsid w:val="00466C97"/>
    <w:rsid w:val="00467C46"/>
    <w:rsid w:val="00467C8F"/>
    <w:rsid w:val="004701D3"/>
    <w:rsid w:val="00470544"/>
    <w:rsid w:val="00470954"/>
    <w:rsid w:val="004709B8"/>
    <w:rsid w:val="00471059"/>
    <w:rsid w:val="0047237D"/>
    <w:rsid w:val="004724C4"/>
    <w:rsid w:val="00472C5A"/>
    <w:rsid w:val="00473B1A"/>
    <w:rsid w:val="00473B7A"/>
    <w:rsid w:val="00473DDF"/>
    <w:rsid w:val="00473EE5"/>
    <w:rsid w:val="004742E1"/>
    <w:rsid w:val="00474346"/>
    <w:rsid w:val="004743B0"/>
    <w:rsid w:val="00474956"/>
    <w:rsid w:val="00474D87"/>
    <w:rsid w:val="00474DA5"/>
    <w:rsid w:val="00475349"/>
    <w:rsid w:val="0047577D"/>
    <w:rsid w:val="00475B73"/>
    <w:rsid w:val="00475F8E"/>
    <w:rsid w:val="0047623E"/>
    <w:rsid w:val="00476316"/>
    <w:rsid w:val="004765D3"/>
    <w:rsid w:val="0047680C"/>
    <w:rsid w:val="00476AAA"/>
    <w:rsid w:val="00476AE5"/>
    <w:rsid w:val="004771D3"/>
    <w:rsid w:val="00477628"/>
    <w:rsid w:val="004776D9"/>
    <w:rsid w:val="004779CD"/>
    <w:rsid w:val="004803D6"/>
    <w:rsid w:val="0048097C"/>
    <w:rsid w:val="00480BFA"/>
    <w:rsid w:val="0048149D"/>
    <w:rsid w:val="0048152B"/>
    <w:rsid w:val="004821BD"/>
    <w:rsid w:val="00482AA0"/>
    <w:rsid w:val="00482E5C"/>
    <w:rsid w:val="004830D5"/>
    <w:rsid w:val="00483288"/>
    <w:rsid w:val="00483752"/>
    <w:rsid w:val="004837A8"/>
    <w:rsid w:val="00483B06"/>
    <w:rsid w:val="00483BD1"/>
    <w:rsid w:val="00483CBD"/>
    <w:rsid w:val="00484197"/>
    <w:rsid w:val="00484C80"/>
    <w:rsid w:val="00484F97"/>
    <w:rsid w:val="0048510D"/>
    <w:rsid w:val="00485274"/>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C33"/>
    <w:rsid w:val="00490E14"/>
    <w:rsid w:val="00490E27"/>
    <w:rsid w:val="00491267"/>
    <w:rsid w:val="004913E5"/>
    <w:rsid w:val="004915D5"/>
    <w:rsid w:val="00491672"/>
    <w:rsid w:val="00491ADE"/>
    <w:rsid w:val="00491D73"/>
    <w:rsid w:val="00491E34"/>
    <w:rsid w:val="00492649"/>
    <w:rsid w:val="004926D6"/>
    <w:rsid w:val="004927F0"/>
    <w:rsid w:val="0049307B"/>
    <w:rsid w:val="00493624"/>
    <w:rsid w:val="004936D6"/>
    <w:rsid w:val="00493DC9"/>
    <w:rsid w:val="00494131"/>
    <w:rsid w:val="004941C0"/>
    <w:rsid w:val="00494422"/>
    <w:rsid w:val="004945E1"/>
    <w:rsid w:val="00494BFE"/>
    <w:rsid w:val="00494F8B"/>
    <w:rsid w:val="004952B2"/>
    <w:rsid w:val="00495976"/>
    <w:rsid w:val="004959CC"/>
    <w:rsid w:val="00495A63"/>
    <w:rsid w:val="004962E5"/>
    <w:rsid w:val="00496313"/>
    <w:rsid w:val="0049644B"/>
    <w:rsid w:val="00496571"/>
    <w:rsid w:val="004967E9"/>
    <w:rsid w:val="004969CE"/>
    <w:rsid w:val="004971B9"/>
    <w:rsid w:val="0049759D"/>
    <w:rsid w:val="0049776D"/>
    <w:rsid w:val="00497AB9"/>
    <w:rsid w:val="004A05FB"/>
    <w:rsid w:val="004A0C47"/>
    <w:rsid w:val="004A150D"/>
    <w:rsid w:val="004A1629"/>
    <w:rsid w:val="004A1D64"/>
    <w:rsid w:val="004A2673"/>
    <w:rsid w:val="004A2CA4"/>
    <w:rsid w:val="004A2DF2"/>
    <w:rsid w:val="004A3809"/>
    <w:rsid w:val="004A398B"/>
    <w:rsid w:val="004A3E5D"/>
    <w:rsid w:val="004A3FF5"/>
    <w:rsid w:val="004A42F7"/>
    <w:rsid w:val="004A44C0"/>
    <w:rsid w:val="004A4E75"/>
    <w:rsid w:val="004A5239"/>
    <w:rsid w:val="004A5363"/>
    <w:rsid w:val="004A64FE"/>
    <w:rsid w:val="004A69C4"/>
    <w:rsid w:val="004A736A"/>
    <w:rsid w:val="004A79C2"/>
    <w:rsid w:val="004B114F"/>
    <w:rsid w:val="004B13FE"/>
    <w:rsid w:val="004B1A1F"/>
    <w:rsid w:val="004B1FE6"/>
    <w:rsid w:val="004B2056"/>
    <w:rsid w:val="004B2409"/>
    <w:rsid w:val="004B24E2"/>
    <w:rsid w:val="004B296B"/>
    <w:rsid w:val="004B3124"/>
    <w:rsid w:val="004B3153"/>
    <w:rsid w:val="004B31D0"/>
    <w:rsid w:val="004B3762"/>
    <w:rsid w:val="004B4069"/>
    <w:rsid w:val="004B43BB"/>
    <w:rsid w:val="004B4C44"/>
    <w:rsid w:val="004B4D05"/>
    <w:rsid w:val="004B4D09"/>
    <w:rsid w:val="004B5D95"/>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2298"/>
    <w:rsid w:val="004C2F74"/>
    <w:rsid w:val="004C31F3"/>
    <w:rsid w:val="004C32EB"/>
    <w:rsid w:val="004C35C5"/>
    <w:rsid w:val="004C35DC"/>
    <w:rsid w:val="004C3C27"/>
    <w:rsid w:val="004C4048"/>
    <w:rsid w:val="004C40CC"/>
    <w:rsid w:val="004C42C4"/>
    <w:rsid w:val="004C4EA2"/>
    <w:rsid w:val="004C522D"/>
    <w:rsid w:val="004C5284"/>
    <w:rsid w:val="004C55A1"/>
    <w:rsid w:val="004C5976"/>
    <w:rsid w:val="004C5C34"/>
    <w:rsid w:val="004C6243"/>
    <w:rsid w:val="004C62C7"/>
    <w:rsid w:val="004C6434"/>
    <w:rsid w:val="004C69F7"/>
    <w:rsid w:val="004C6D16"/>
    <w:rsid w:val="004C71D6"/>
    <w:rsid w:val="004D095E"/>
    <w:rsid w:val="004D10F7"/>
    <w:rsid w:val="004D12E7"/>
    <w:rsid w:val="004D1D7A"/>
    <w:rsid w:val="004D1DB0"/>
    <w:rsid w:val="004D23F8"/>
    <w:rsid w:val="004D282B"/>
    <w:rsid w:val="004D2CF4"/>
    <w:rsid w:val="004D2D3C"/>
    <w:rsid w:val="004D2D53"/>
    <w:rsid w:val="004D3EF9"/>
    <w:rsid w:val="004D4077"/>
    <w:rsid w:val="004D4207"/>
    <w:rsid w:val="004D44FE"/>
    <w:rsid w:val="004D45EC"/>
    <w:rsid w:val="004D49D8"/>
    <w:rsid w:val="004D4B1A"/>
    <w:rsid w:val="004D51FE"/>
    <w:rsid w:val="004D581D"/>
    <w:rsid w:val="004D5867"/>
    <w:rsid w:val="004D59CE"/>
    <w:rsid w:val="004D5C30"/>
    <w:rsid w:val="004D6130"/>
    <w:rsid w:val="004D6300"/>
    <w:rsid w:val="004D6787"/>
    <w:rsid w:val="004D6DC0"/>
    <w:rsid w:val="004D6F40"/>
    <w:rsid w:val="004D76B4"/>
    <w:rsid w:val="004D7DD9"/>
    <w:rsid w:val="004E0261"/>
    <w:rsid w:val="004E0D74"/>
    <w:rsid w:val="004E0FBE"/>
    <w:rsid w:val="004E0FF1"/>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5380"/>
    <w:rsid w:val="004E567A"/>
    <w:rsid w:val="004E5851"/>
    <w:rsid w:val="004E6072"/>
    <w:rsid w:val="004E6648"/>
    <w:rsid w:val="004E6868"/>
    <w:rsid w:val="004E697A"/>
    <w:rsid w:val="004E6C49"/>
    <w:rsid w:val="004E7170"/>
    <w:rsid w:val="004E7364"/>
    <w:rsid w:val="004E765F"/>
    <w:rsid w:val="004E7A5B"/>
    <w:rsid w:val="004E7B7C"/>
    <w:rsid w:val="004E7CFE"/>
    <w:rsid w:val="004F00D4"/>
    <w:rsid w:val="004F0889"/>
    <w:rsid w:val="004F0B10"/>
    <w:rsid w:val="004F1797"/>
    <w:rsid w:val="004F1BD0"/>
    <w:rsid w:val="004F25F4"/>
    <w:rsid w:val="004F2ECB"/>
    <w:rsid w:val="004F3053"/>
    <w:rsid w:val="004F3085"/>
    <w:rsid w:val="004F319F"/>
    <w:rsid w:val="004F328A"/>
    <w:rsid w:val="004F337C"/>
    <w:rsid w:val="004F3B6D"/>
    <w:rsid w:val="004F45ED"/>
    <w:rsid w:val="004F50E7"/>
    <w:rsid w:val="004F5852"/>
    <w:rsid w:val="004F592B"/>
    <w:rsid w:val="004F5A72"/>
    <w:rsid w:val="004F5F2E"/>
    <w:rsid w:val="004F6392"/>
    <w:rsid w:val="004F6759"/>
    <w:rsid w:val="004F6AE7"/>
    <w:rsid w:val="004F70A4"/>
    <w:rsid w:val="004F7427"/>
    <w:rsid w:val="004F742B"/>
    <w:rsid w:val="004F753A"/>
    <w:rsid w:val="004F76C3"/>
    <w:rsid w:val="004F7C80"/>
    <w:rsid w:val="004F7E8E"/>
    <w:rsid w:val="0050011F"/>
    <w:rsid w:val="0050095C"/>
    <w:rsid w:val="00501B6C"/>
    <w:rsid w:val="00502783"/>
    <w:rsid w:val="00502B94"/>
    <w:rsid w:val="005030D4"/>
    <w:rsid w:val="00503AE2"/>
    <w:rsid w:val="00503D93"/>
    <w:rsid w:val="00503E19"/>
    <w:rsid w:val="00504107"/>
    <w:rsid w:val="0050488C"/>
    <w:rsid w:val="00505155"/>
    <w:rsid w:val="0050556D"/>
    <w:rsid w:val="005067E9"/>
    <w:rsid w:val="005068F0"/>
    <w:rsid w:val="00506F90"/>
    <w:rsid w:val="00506F99"/>
    <w:rsid w:val="00507252"/>
    <w:rsid w:val="005076E8"/>
    <w:rsid w:val="00507773"/>
    <w:rsid w:val="005079D8"/>
    <w:rsid w:val="0051003E"/>
    <w:rsid w:val="005101F5"/>
    <w:rsid w:val="00511013"/>
    <w:rsid w:val="00511417"/>
    <w:rsid w:val="00511E27"/>
    <w:rsid w:val="005122CE"/>
    <w:rsid w:val="00512580"/>
    <w:rsid w:val="00512695"/>
    <w:rsid w:val="00512D9C"/>
    <w:rsid w:val="005135F6"/>
    <w:rsid w:val="0051398C"/>
    <w:rsid w:val="00513C97"/>
    <w:rsid w:val="005140D9"/>
    <w:rsid w:val="005141DF"/>
    <w:rsid w:val="00514AA4"/>
    <w:rsid w:val="00514CAA"/>
    <w:rsid w:val="005153B8"/>
    <w:rsid w:val="0051596C"/>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9C2"/>
    <w:rsid w:val="00523F7A"/>
    <w:rsid w:val="00523FDB"/>
    <w:rsid w:val="005244CA"/>
    <w:rsid w:val="005245BE"/>
    <w:rsid w:val="00524F04"/>
    <w:rsid w:val="00525CCE"/>
    <w:rsid w:val="00525DB8"/>
    <w:rsid w:val="0052608E"/>
    <w:rsid w:val="00526220"/>
    <w:rsid w:val="005264DA"/>
    <w:rsid w:val="00526A86"/>
    <w:rsid w:val="00526ADD"/>
    <w:rsid w:val="00526DD2"/>
    <w:rsid w:val="005270AA"/>
    <w:rsid w:val="0052758B"/>
    <w:rsid w:val="00527819"/>
    <w:rsid w:val="005308F8"/>
    <w:rsid w:val="00530AEA"/>
    <w:rsid w:val="005312B8"/>
    <w:rsid w:val="005317D0"/>
    <w:rsid w:val="00531A76"/>
    <w:rsid w:val="0053237C"/>
    <w:rsid w:val="0053250E"/>
    <w:rsid w:val="00532704"/>
    <w:rsid w:val="00532931"/>
    <w:rsid w:val="005337A7"/>
    <w:rsid w:val="00533C6B"/>
    <w:rsid w:val="005342F5"/>
    <w:rsid w:val="00535185"/>
    <w:rsid w:val="0053546D"/>
    <w:rsid w:val="00535AC2"/>
    <w:rsid w:val="00535C02"/>
    <w:rsid w:val="00536595"/>
    <w:rsid w:val="00536B5C"/>
    <w:rsid w:val="0053711E"/>
    <w:rsid w:val="00537131"/>
    <w:rsid w:val="00537A86"/>
    <w:rsid w:val="00537D44"/>
    <w:rsid w:val="005402E2"/>
    <w:rsid w:val="0054083E"/>
    <w:rsid w:val="00540C91"/>
    <w:rsid w:val="00540EDF"/>
    <w:rsid w:val="0054100F"/>
    <w:rsid w:val="00542408"/>
    <w:rsid w:val="0054288C"/>
    <w:rsid w:val="00542EBB"/>
    <w:rsid w:val="0054319A"/>
    <w:rsid w:val="00543212"/>
    <w:rsid w:val="0054367B"/>
    <w:rsid w:val="00543809"/>
    <w:rsid w:val="00543B88"/>
    <w:rsid w:val="00543C53"/>
    <w:rsid w:val="00543ED2"/>
    <w:rsid w:val="00544903"/>
    <w:rsid w:val="00544F2D"/>
    <w:rsid w:val="00544FC5"/>
    <w:rsid w:val="005453A8"/>
    <w:rsid w:val="00545EC5"/>
    <w:rsid w:val="00546680"/>
    <w:rsid w:val="00546CB6"/>
    <w:rsid w:val="005471BF"/>
    <w:rsid w:val="005472A9"/>
    <w:rsid w:val="00547ED2"/>
    <w:rsid w:val="00550476"/>
    <w:rsid w:val="0055063C"/>
    <w:rsid w:val="0055075E"/>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E7D"/>
    <w:rsid w:val="005561B1"/>
    <w:rsid w:val="00556DE0"/>
    <w:rsid w:val="00556E77"/>
    <w:rsid w:val="00556E84"/>
    <w:rsid w:val="00556FD9"/>
    <w:rsid w:val="00557B1A"/>
    <w:rsid w:val="0056088B"/>
    <w:rsid w:val="005608E6"/>
    <w:rsid w:val="0056110C"/>
    <w:rsid w:val="005611BD"/>
    <w:rsid w:val="0056138E"/>
    <w:rsid w:val="005614F6"/>
    <w:rsid w:val="00561E8E"/>
    <w:rsid w:val="0056210C"/>
    <w:rsid w:val="0056254F"/>
    <w:rsid w:val="005630B7"/>
    <w:rsid w:val="0056425D"/>
    <w:rsid w:val="0056487E"/>
    <w:rsid w:val="00564A33"/>
    <w:rsid w:val="00565478"/>
    <w:rsid w:val="00565689"/>
    <w:rsid w:val="00566162"/>
    <w:rsid w:val="005661D3"/>
    <w:rsid w:val="00566422"/>
    <w:rsid w:val="00566B5B"/>
    <w:rsid w:val="00566D6D"/>
    <w:rsid w:val="005671D9"/>
    <w:rsid w:val="005679DF"/>
    <w:rsid w:val="00567BA3"/>
    <w:rsid w:val="0057029A"/>
    <w:rsid w:val="005704C3"/>
    <w:rsid w:val="005704F4"/>
    <w:rsid w:val="0057093E"/>
    <w:rsid w:val="005712F8"/>
    <w:rsid w:val="005714EB"/>
    <w:rsid w:val="0057165C"/>
    <w:rsid w:val="0057209C"/>
    <w:rsid w:val="005726A3"/>
    <w:rsid w:val="0057276D"/>
    <w:rsid w:val="00572AA3"/>
    <w:rsid w:val="00572B0E"/>
    <w:rsid w:val="005736E0"/>
    <w:rsid w:val="00574007"/>
    <w:rsid w:val="0057465B"/>
    <w:rsid w:val="0057486B"/>
    <w:rsid w:val="005753FE"/>
    <w:rsid w:val="00575674"/>
    <w:rsid w:val="0057581E"/>
    <w:rsid w:val="00575C00"/>
    <w:rsid w:val="00575C35"/>
    <w:rsid w:val="00575C38"/>
    <w:rsid w:val="00576581"/>
    <w:rsid w:val="005766EC"/>
    <w:rsid w:val="005767D9"/>
    <w:rsid w:val="00576C0C"/>
    <w:rsid w:val="00577146"/>
    <w:rsid w:val="005773A0"/>
    <w:rsid w:val="005800F8"/>
    <w:rsid w:val="005801AA"/>
    <w:rsid w:val="00580A07"/>
    <w:rsid w:val="00580EA0"/>
    <w:rsid w:val="005812E9"/>
    <w:rsid w:val="0058156A"/>
    <w:rsid w:val="005819B9"/>
    <w:rsid w:val="00581B54"/>
    <w:rsid w:val="00581E0B"/>
    <w:rsid w:val="00581FD0"/>
    <w:rsid w:val="00582002"/>
    <w:rsid w:val="00582841"/>
    <w:rsid w:val="00583AF7"/>
    <w:rsid w:val="00583C58"/>
    <w:rsid w:val="00583F7A"/>
    <w:rsid w:val="00584050"/>
    <w:rsid w:val="00584CF3"/>
    <w:rsid w:val="0058501F"/>
    <w:rsid w:val="00585525"/>
    <w:rsid w:val="00585538"/>
    <w:rsid w:val="0058570E"/>
    <w:rsid w:val="0058574F"/>
    <w:rsid w:val="00585767"/>
    <w:rsid w:val="00585D96"/>
    <w:rsid w:val="00586036"/>
    <w:rsid w:val="005860CF"/>
    <w:rsid w:val="005861E2"/>
    <w:rsid w:val="00586AE1"/>
    <w:rsid w:val="00586D72"/>
    <w:rsid w:val="0058706F"/>
    <w:rsid w:val="0058760C"/>
    <w:rsid w:val="00590A99"/>
    <w:rsid w:val="00590E36"/>
    <w:rsid w:val="00590F71"/>
    <w:rsid w:val="00590FFB"/>
    <w:rsid w:val="00591FF0"/>
    <w:rsid w:val="00592518"/>
    <w:rsid w:val="00592632"/>
    <w:rsid w:val="005933B5"/>
    <w:rsid w:val="00593540"/>
    <w:rsid w:val="0059375E"/>
    <w:rsid w:val="00593B12"/>
    <w:rsid w:val="00593DCE"/>
    <w:rsid w:val="0059427F"/>
    <w:rsid w:val="00594A39"/>
    <w:rsid w:val="00594E2D"/>
    <w:rsid w:val="00594F0E"/>
    <w:rsid w:val="0059502D"/>
    <w:rsid w:val="0059520B"/>
    <w:rsid w:val="005952FF"/>
    <w:rsid w:val="005959FF"/>
    <w:rsid w:val="00595F55"/>
    <w:rsid w:val="00596DF4"/>
    <w:rsid w:val="00597A13"/>
    <w:rsid w:val="00597B8A"/>
    <w:rsid w:val="00597E79"/>
    <w:rsid w:val="00597ED0"/>
    <w:rsid w:val="00597EED"/>
    <w:rsid w:val="005A004D"/>
    <w:rsid w:val="005A0064"/>
    <w:rsid w:val="005A0825"/>
    <w:rsid w:val="005A0A66"/>
    <w:rsid w:val="005A0E84"/>
    <w:rsid w:val="005A1212"/>
    <w:rsid w:val="005A12E0"/>
    <w:rsid w:val="005A17B8"/>
    <w:rsid w:val="005A19C3"/>
    <w:rsid w:val="005A1C35"/>
    <w:rsid w:val="005A20C2"/>
    <w:rsid w:val="005A2109"/>
    <w:rsid w:val="005A239F"/>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B0"/>
    <w:rsid w:val="005A7F14"/>
    <w:rsid w:val="005B012A"/>
    <w:rsid w:val="005B0534"/>
    <w:rsid w:val="005B0739"/>
    <w:rsid w:val="005B083A"/>
    <w:rsid w:val="005B08B4"/>
    <w:rsid w:val="005B0D60"/>
    <w:rsid w:val="005B0F1F"/>
    <w:rsid w:val="005B18D8"/>
    <w:rsid w:val="005B1E1C"/>
    <w:rsid w:val="005B2853"/>
    <w:rsid w:val="005B2A0E"/>
    <w:rsid w:val="005B2AA3"/>
    <w:rsid w:val="005B2C90"/>
    <w:rsid w:val="005B32B6"/>
    <w:rsid w:val="005B3CAC"/>
    <w:rsid w:val="005B3DFF"/>
    <w:rsid w:val="005B3E37"/>
    <w:rsid w:val="005B50F2"/>
    <w:rsid w:val="005B59CC"/>
    <w:rsid w:val="005B62F9"/>
    <w:rsid w:val="005B64CC"/>
    <w:rsid w:val="005B66AB"/>
    <w:rsid w:val="005B6849"/>
    <w:rsid w:val="005B6BC6"/>
    <w:rsid w:val="005B6C5A"/>
    <w:rsid w:val="005B77F0"/>
    <w:rsid w:val="005B787B"/>
    <w:rsid w:val="005B7DE0"/>
    <w:rsid w:val="005C07E5"/>
    <w:rsid w:val="005C10C3"/>
    <w:rsid w:val="005C125F"/>
    <w:rsid w:val="005C13F8"/>
    <w:rsid w:val="005C14E3"/>
    <w:rsid w:val="005C176B"/>
    <w:rsid w:val="005C1F21"/>
    <w:rsid w:val="005C3B25"/>
    <w:rsid w:val="005C3CBD"/>
    <w:rsid w:val="005C3EFB"/>
    <w:rsid w:val="005C41EA"/>
    <w:rsid w:val="005C44C7"/>
    <w:rsid w:val="005C4691"/>
    <w:rsid w:val="005C5858"/>
    <w:rsid w:val="005C5ACE"/>
    <w:rsid w:val="005C6842"/>
    <w:rsid w:val="005C68E9"/>
    <w:rsid w:val="005C6BF8"/>
    <w:rsid w:val="005C6C10"/>
    <w:rsid w:val="005C6F4B"/>
    <w:rsid w:val="005C7362"/>
    <w:rsid w:val="005C7950"/>
    <w:rsid w:val="005C7953"/>
    <w:rsid w:val="005C7BCD"/>
    <w:rsid w:val="005C7CF1"/>
    <w:rsid w:val="005D005D"/>
    <w:rsid w:val="005D0116"/>
    <w:rsid w:val="005D0491"/>
    <w:rsid w:val="005D06A4"/>
    <w:rsid w:val="005D06C0"/>
    <w:rsid w:val="005D07DD"/>
    <w:rsid w:val="005D0D1A"/>
    <w:rsid w:val="005D0F2E"/>
    <w:rsid w:val="005D13A0"/>
    <w:rsid w:val="005D1C72"/>
    <w:rsid w:val="005D2007"/>
    <w:rsid w:val="005D2256"/>
    <w:rsid w:val="005D26B8"/>
    <w:rsid w:val="005D2ED9"/>
    <w:rsid w:val="005D3067"/>
    <w:rsid w:val="005D395A"/>
    <w:rsid w:val="005D49C2"/>
    <w:rsid w:val="005D50F4"/>
    <w:rsid w:val="005D588C"/>
    <w:rsid w:val="005D5E04"/>
    <w:rsid w:val="005D60DA"/>
    <w:rsid w:val="005D64D0"/>
    <w:rsid w:val="005D65C0"/>
    <w:rsid w:val="005D6C41"/>
    <w:rsid w:val="005D6D0D"/>
    <w:rsid w:val="005D6DBE"/>
    <w:rsid w:val="005D71E0"/>
    <w:rsid w:val="005D7232"/>
    <w:rsid w:val="005D772C"/>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759"/>
    <w:rsid w:val="005E78BC"/>
    <w:rsid w:val="005E7F66"/>
    <w:rsid w:val="005F044F"/>
    <w:rsid w:val="005F0474"/>
    <w:rsid w:val="005F0905"/>
    <w:rsid w:val="005F0BF6"/>
    <w:rsid w:val="005F0EA7"/>
    <w:rsid w:val="005F0F5F"/>
    <w:rsid w:val="005F184F"/>
    <w:rsid w:val="005F1B1A"/>
    <w:rsid w:val="005F2513"/>
    <w:rsid w:val="005F2D82"/>
    <w:rsid w:val="005F2ED3"/>
    <w:rsid w:val="005F2F80"/>
    <w:rsid w:val="005F40AA"/>
    <w:rsid w:val="005F4664"/>
    <w:rsid w:val="005F478F"/>
    <w:rsid w:val="005F4CDA"/>
    <w:rsid w:val="005F5147"/>
    <w:rsid w:val="005F521A"/>
    <w:rsid w:val="005F53C3"/>
    <w:rsid w:val="005F55FC"/>
    <w:rsid w:val="005F592F"/>
    <w:rsid w:val="005F5EFB"/>
    <w:rsid w:val="005F5F53"/>
    <w:rsid w:val="005F60E5"/>
    <w:rsid w:val="005F626F"/>
    <w:rsid w:val="005F62A9"/>
    <w:rsid w:val="005F6664"/>
    <w:rsid w:val="005F66E7"/>
    <w:rsid w:val="005F6EA9"/>
    <w:rsid w:val="005F7210"/>
    <w:rsid w:val="005F7255"/>
    <w:rsid w:val="005F744A"/>
    <w:rsid w:val="005F756D"/>
    <w:rsid w:val="005F7DCF"/>
    <w:rsid w:val="005F7E54"/>
    <w:rsid w:val="0060039F"/>
    <w:rsid w:val="006006BC"/>
    <w:rsid w:val="0060085C"/>
    <w:rsid w:val="00600E6D"/>
    <w:rsid w:val="00601204"/>
    <w:rsid w:val="006013F9"/>
    <w:rsid w:val="0060145B"/>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B"/>
    <w:rsid w:val="006068DB"/>
    <w:rsid w:val="00606B31"/>
    <w:rsid w:val="00606B38"/>
    <w:rsid w:val="00606D61"/>
    <w:rsid w:val="00606EA2"/>
    <w:rsid w:val="006070F7"/>
    <w:rsid w:val="006075E7"/>
    <w:rsid w:val="00607648"/>
    <w:rsid w:val="00610AA2"/>
    <w:rsid w:val="00610AF4"/>
    <w:rsid w:val="00610C1F"/>
    <w:rsid w:val="006112D0"/>
    <w:rsid w:val="0061136F"/>
    <w:rsid w:val="00611709"/>
    <w:rsid w:val="00611EED"/>
    <w:rsid w:val="006122C1"/>
    <w:rsid w:val="006122D7"/>
    <w:rsid w:val="006123CD"/>
    <w:rsid w:val="006127BC"/>
    <w:rsid w:val="006127CC"/>
    <w:rsid w:val="00612E37"/>
    <w:rsid w:val="00613052"/>
    <w:rsid w:val="00613232"/>
    <w:rsid w:val="0061335D"/>
    <w:rsid w:val="006134BC"/>
    <w:rsid w:val="006135BF"/>
    <w:rsid w:val="0061390E"/>
    <w:rsid w:val="00613C3A"/>
    <w:rsid w:val="00613DCF"/>
    <w:rsid w:val="00614076"/>
    <w:rsid w:val="006146AF"/>
    <w:rsid w:val="00614C2C"/>
    <w:rsid w:val="00614D4E"/>
    <w:rsid w:val="00614F44"/>
    <w:rsid w:val="00615053"/>
    <w:rsid w:val="006157AC"/>
    <w:rsid w:val="00615CF4"/>
    <w:rsid w:val="006161EE"/>
    <w:rsid w:val="00617731"/>
    <w:rsid w:val="00617780"/>
    <w:rsid w:val="006179A5"/>
    <w:rsid w:val="006201F3"/>
    <w:rsid w:val="00620A2B"/>
    <w:rsid w:val="00620B76"/>
    <w:rsid w:val="00620EA7"/>
    <w:rsid w:val="006224BC"/>
    <w:rsid w:val="00622640"/>
    <w:rsid w:val="006234BC"/>
    <w:rsid w:val="00623670"/>
    <w:rsid w:val="006242A6"/>
    <w:rsid w:val="006242FF"/>
    <w:rsid w:val="00624D92"/>
    <w:rsid w:val="00624E2A"/>
    <w:rsid w:val="006256B8"/>
    <w:rsid w:val="00625AF9"/>
    <w:rsid w:val="00625C32"/>
    <w:rsid w:val="00625ECE"/>
    <w:rsid w:val="00626652"/>
    <w:rsid w:val="00626712"/>
    <w:rsid w:val="006274CE"/>
    <w:rsid w:val="00627619"/>
    <w:rsid w:val="00627AB0"/>
    <w:rsid w:val="00630372"/>
    <w:rsid w:val="00630C9C"/>
    <w:rsid w:val="00630D32"/>
    <w:rsid w:val="00630DED"/>
    <w:rsid w:val="0063104F"/>
    <w:rsid w:val="0063136B"/>
    <w:rsid w:val="00631DD1"/>
    <w:rsid w:val="0063289F"/>
    <w:rsid w:val="00632AF8"/>
    <w:rsid w:val="00632D00"/>
    <w:rsid w:val="00633361"/>
    <w:rsid w:val="00633A50"/>
    <w:rsid w:val="00633C1C"/>
    <w:rsid w:val="00633FE5"/>
    <w:rsid w:val="00634018"/>
    <w:rsid w:val="0063479F"/>
    <w:rsid w:val="00634D37"/>
    <w:rsid w:val="00635602"/>
    <w:rsid w:val="006358C8"/>
    <w:rsid w:val="00635BA7"/>
    <w:rsid w:val="00636495"/>
    <w:rsid w:val="00636CE4"/>
    <w:rsid w:val="00637458"/>
    <w:rsid w:val="006374BD"/>
    <w:rsid w:val="00637888"/>
    <w:rsid w:val="00637B46"/>
    <w:rsid w:val="00637F9A"/>
    <w:rsid w:val="00637FB3"/>
    <w:rsid w:val="00640177"/>
    <w:rsid w:val="00640A0F"/>
    <w:rsid w:val="00641925"/>
    <w:rsid w:val="00641926"/>
    <w:rsid w:val="00641CA2"/>
    <w:rsid w:val="00641EEC"/>
    <w:rsid w:val="00642285"/>
    <w:rsid w:val="006428FE"/>
    <w:rsid w:val="006429D8"/>
    <w:rsid w:val="00642B63"/>
    <w:rsid w:val="006433B8"/>
    <w:rsid w:val="00643409"/>
    <w:rsid w:val="00643545"/>
    <w:rsid w:val="006437FA"/>
    <w:rsid w:val="00643826"/>
    <w:rsid w:val="00643A26"/>
    <w:rsid w:val="00643A31"/>
    <w:rsid w:val="00643BDC"/>
    <w:rsid w:val="006441DD"/>
    <w:rsid w:val="00644312"/>
    <w:rsid w:val="006448E6"/>
    <w:rsid w:val="00644E3A"/>
    <w:rsid w:val="00644FD3"/>
    <w:rsid w:val="00645AC3"/>
    <w:rsid w:val="0064664D"/>
    <w:rsid w:val="00646785"/>
    <w:rsid w:val="00646B78"/>
    <w:rsid w:val="00646EC3"/>
    <w:rsid w:val="006470DE"/>
    <w:rsid w:val="00647FED"/>
    <w:rsid w:val="00650280"/>
    <w:rsid w:val="0065037E"/>
    <w:rsid w:val="006503B5"/>
    <w:rsid w:val="006509E6"/>
    <w:rsid w:val="00650A2C"/>
    <w:rsid w:val="00650F3A"/>
    <w:rsid w:val="00650F5E"/>
    <w:rsid w:val="00651151"/>
    <w:rsid w:val="00651696"/>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347"/>
    <w:rsid w:val="0065498F"/>
    <w:rsid w:val="00654D45"/>
    <w:rsid w:val="0065508A"/>
    <w:rsid w:val="00656005"/>
    <w:rsid w:val="00656647"/>
    <w:rsid w:val="006569C0"/>
    <w:rsid w:val="006569D4"/>
    <w:rsid w:val="006573F8"/>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5075"/>
    <w:rsid w:val="006651EE"/>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B0F"/>
    <w:rsid w:val="006801C6"/>
    <w:rsid w:val="00680DE6"/>
    <w:rsid w:val="00680DFF"/>
    <w:rsid w:val="006811BB"/>
    <w:rsid w:val="00681312"/>
    <w:rsid w:val="006813EC"/>
    <w:rsid w:val="00681465"/>
    <w:rsid w:val="00681DE5"/>
    <w:rsid w:val="00681FB6"/>
    <w:rsid w:val="00681FF2"/>
    <w:rsid w:val="006820D1"/>
    <w:rsid w:val="0068237B"/>
    <w:rsid w:val="00682659"/>
    <w:rsid w:val="0068282B"/>
    <w:rsid w:val="00682B37"/>
    <w:rsid w:val="00682C4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73B6"/>
    <w:rsid w:val="006904F1"/>
    <w:rsid w:val="0069050E"/>
    <w:rsid w:val="00690D62"/>
    <w:rsid w:val="0069117F"/>
    <w:rsid w:val="006920E6"/>
    <w:rsid w:val="006925CE"/>
    <w:rsid w:val="006925DD"/>
    <w:rsid w:val="006926B1"/>
    <w:rsid w:val="006928C5"/>
    <w:rsid w:val="00692B83"/>
    <w:rsid w:val="006934AB"/>
    <w:rsid w:val="0069357D"/>
    <w:rsid w:val="0069358C"/>
    <w:rsid w:val="00693CAD"/>
    <w:rsid w:val="00693E6C"/>
    <w:rsid w:val="00693ED3"/>
    <w:rsid w:val="00694989"/>
    <w:rsid w:val="00694ACD"/>
    <w:rsid w:val="00694B5B"/>
    <w:rsid w:val="00694DA3"/>
    <w:rsid w:val="00694F03"/>
    <w:rsid w:val="00694F8C"/>
    <w:rsid w:val="0069501D"/>
    <w:rsid w:val="006960F5"/>
    <w:rsid w:val="00696A75"/>
    <w:rsid w:val="00696B5D"/>
    <w:rsid w:val="00696C45"/>
    <w:rsid w:val="00696E31"/>
    <w:rsid w:val="00697032"/>
    <w:rsid w:val="0069712C"/>
    <w:rsid w:val="00697704"/>
    <w:rsid w:val="00697980"/>
    <w:rsid w:val="006979BC"/>
    <w:rsid w:val="00697A12"/>
    <w:rsid w:val="00697E9B"/>
    <w:rsid w:val="006A0160"/>
    <w:rsid w:val="006A049C"/>
    <w:rsid w:val="006A04FA"/>
    <w:rsid w:val="006A0558"/>
    <w:rsid w:val="006A06C9"/>
    <w:rsid w:val="006A0845"/>
    <w:rsid w:val="006A1116"/>
    <w:rsid w:val="006A19ED"/>
    <w:rsid w:val="006A1E3B"/>
    <w:rsid w:val="006A2090"/>
    <w:rsid w:val="006A22C7"/>
    <w:rsid w:val="006A2CA1"/>
    <w:rsid w:val="006A2F0E"/>
    <w:rsid w:val="006A2FDF"/>
    <w:rsid w:val="006A3375"/>
    <w:rsid w:val="006A37ED"/>
    <w:rsid w:val="006A3964"/>
    <w:rsid w:val="006A3A27"/>
    <w:rsid w:val="006A444D"/>
    <w:rsid w:val="006A464B"/>
    <w:rsid w:val="006A47AA"/>
    <w:rsid w:val="006A4999"/>
    <w:rsid w:val="006A4A44"/>
    <w:rsid w:val="006A4B54"/>
    <w:rsid w:val="006A54D0"/>
    <w:rsid w:val="006A597F"/>
    <w:rsid w:val="006A59E9"/>
    <w:rsid w:val="006A6319"/>
    <w:rsid w:val="006A655C"/>
    <w:rsid w:val="006A6560"/>
    <w:rsid w:val="006A66EC"/>
    <w:rsid w:val="006A6956"/>
    <w:rsid w:val="006A6AE1"/>
    <w:rsid w:val="006A6B5E"/>
    <w:rsid w:val="006A7169"/>
    <w:rsid w:val="006A7321"/>
    <w:rsid w:val="006A7784"/>
    <w:rsid w:val="006A7994"/>
    <w:rsid w:val="006A7CC3"/>
    <w:rsid w:val="006A7D88"/>
    <w:rsid w:val="006B008C"/>
    <w:rsid w:val="006B0855"/>
    <w:rsid w:val="006B0B90"/>
    <w:rsid w:val="006B0C14"/>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72F9"/>
    <w:rsid w:val="006C00B3"/>
    <w:rsid w:val="006C087D"/>
    <w:rsid w:val="006C0A56"/>
    <w:rsid w:val="006C0E04"/>
    <w:rsid w:val="006C0F64"/>
    <w:rsid w:val="006C12B2"/>
    <w:rsid w:val="006C142E"/>
    <w:rsid w:val="006C17D1"/>
    <w:rsid w:val="006C1F22"/>
    <w:rsid w:val="006C29CE"/>
    <w:rsid w:val="006C3100"/>
    <w:rsid w:val="006C3241"/>
    <w:rsid w:val="006C3673"/>
    <w:rsid w:val="006C387D"/>
    <w:rsid w:val="006C3B7A"/>
    <w:rsid w:val="006C3D77"/>
    <w:rsid w:val="006C400E"/>
    <w:rsid w:val="006C595F"/>
    <w:rsid w:val="006C632F"/>
    <w:rsid w:val="006C65E2"/>
    <w:rsid w:val="006C6B7C"/>
    <w:rsid w:val="006C6DFE"/>
    <w:rsid w:val="006C6EB3"/>
    <w:rsid w:val="006C703C"/>
    <w:rsid w:val="006C7318"/>
    <w:rsid w:val="006C7F83"/>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629"/>
    <w:rsid w:val="006D4781"/>
    <w:rsid w:val="006D4893"/>
    <w:rsid w:val="006D4B9E"/>
    <w:rsid w:val="006D526D"/>
    <w:rsid w:val="006D52CF"/>
    <w:rsid w:val="006D5711"/>
    <w:rsid w:val="006D5801"/>
    <w:rsid w:val="006D5962"/>
    <w:rsid w:val="006D5C94"/>
    <w:rsid w:val="006D6782"/>
    <w:rsid w:val="006D6F6E"/>
    <w:rsid w:val="006D7963"/>
    <w:rsid w:val="006D79DA"/>
    <w:rsid w:val="006E0276"/>
    <w:rsid w:val="006E04C6"/>
    <w:rsid w:val="006E085D"/>
    <w:rsid w:val="006E0951"/>
    <w:rsid w:val="006E134A"/>
    <w:rsid w:val="006E151D"/>
    <w:rsid w:val="006E19CD"/>
    <w:rsid w:val="006E1C36"/>
    <w:rsid w:val="006E2528"/>
    <w:rsid w:val="006E28A9"/>
    <w:rsid w:val="006E328A"/>
    <w:rsid w:val="006E3359"/>
    <w:rsid w:val="006E3530"/>
    <w:rsid w:val="006E3A9E"/>
    <w:rsid w:val="006E411F"/>
    <w:rsid w:val="006E4CD8"/>
    <w:rsid w:val="006E4EA0"/>
    <w:rsid w:val="006E58AB"/>
    <w:rsid w:val="006E59AF"/>
    <w:rsid w:val="006E5EB7"/>
    <w:rsid w:val="006E62B8"/>
    <w:rsid w:val="006E62BA"/>
    <w:rsid w:val="006E6961"/>
    <w:rsid w:val="006E6CDE"/>
    <w:rsid w:val="006E6EC7"/>
    <w:rsid w:val="006E72A9"/>
    <w:rsid w:val="006E75C9"/>
    <w:rsid w:val="006E7FE2"/>
    <w:rsid w:val="006F0287"/>
    <w:rsid w:val="006F11AA"/>
    <w:rsid w:val="006F16FA"/>
    <w:rsid w:val="006F1DFC"/>
    <w:rsid w:val="006F1E59"/>
    <w:rsid w:val="006F1F1E"/>
    <w:rsid w:val="006F2028"/>
    <w:rsid w:val="006F2330"/>
    <w:rsid w:val="006F2525"/>
    <w:rsid w:val="006F26A6"/>
    <w:rsid w:val="006F26DD"/>
    <w:rsid w:val="006F3443"/>
    <w:rsid w:val="006F3A83"/>
    <w:rsid w:val="006F3B80"/>
    <w:rsid w:val="006F3E94"/>
    <w:rsid w:val="006F3F3B"/>
    <w:rsid w:val="006F42A6"/>
    <w:rsid w:val="006F51B7"/>
    <w:rsid w:val="006F54ED"/>
    <w:rsid w:val="006F57CA"/>
    <w:rsid w:val="006F5C1C"/>
    <w:rsid w:val="006F5E0B"/>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FAF"/>
    <w:rsid w:val="00705211"/>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3486"/>
    <w:rsid w:val="00713D36"/>
    <w:rsid w:val="00714769"/>
    <w:rsid w:val="007153CC"/>
    <w:rsid w:val="00715965"/>
    <w:rsid w:val="007159A6"/>
    <w:rsid w:val="0071617F"/>
    <w:rsid w:val="007161A2"/>
    <w:rsid w:val="00716D1E"/>
    <w:rsid w:val="00716D5F"/>
    <w:rsid w:val="007175E2"/>
    <w:rsid w:val="0071761A"/>
    <w:rsid w:val="007178C3"/>
    <w:rsid w:val="00717988"/>
    <w:rsid w:val="0071798B"/>
    <w:rsid w:val="00721024"/>
    <w:rsid w:val="00721348"/>
    <w:rsid w:val="0072150D"/>
    <w:rsid w:val="007229CE"/>
    <w:rsid w:val="00722B8A"/>
    <w:rsid w:val="00722C37"/>
    <w:rsid w:val="00722DDC"/>
    <w:rsid w:val="0072338F"/>
    <w:rsid w:val="007233E0"/>
    <w:rsid w:val="007234BF"/>
    <w:rsid w:val="00723E3D"/>
    <w:rsid w:val="00724A52"/>
    <w:rsid w:val="00724BD7"/>
    <w:rsid w:val="00725667"/>
    <w:rsid w:val="00725AA2"/>
    <w:rsid w:val="00726066"/>
    <w:rsid w:val="00726807"/>
    <w:rsid w:val="00726B14"/>
    <w:rsid w:val="00726E21"/>
    <w:rsid w:val="00726E46"/>
    <w:rsid w:val="00727092"/>
    <w:rsid w:val="007271E1"/>
    <w:rsid w:val="00727D03"/>
    <w:rsid w:val="00730280"/>
    <w:rsid w:val="007302DA"/>
    <w:rsid w:val="00730A00"/>
    <w:rsid w:val="00730CDA"/>
    <w:rsid w:val="00731AF9"/>
    <w:rsid w:val="00731DA9"/>
    <w:rsid w:val="00731FA7"/>
    <w:rsid w:val="0073214F"/>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CB1"/>
    <w:rsid w:val="007407AF"/>
    <w:rsid w:val="0074192E"/>
    <w:rsid w:val="00741F43"/>
    <w:rsid w:val="00742095"/>
    <w:rsid w:val="007421A4"/>
    <w:rsid w:val="00742462"/>
    <w:rsid w:val="00742B2C"/>
    <w:rsid w:val="00742B3F"/>
    <w:rsid w:val="00742FC5"/>
    <w:rsid w:val="0074309B"/>
    <w:rsid w:val="00744372"/>
    <w:rsid w:val="007452F4"/>
    <w:rsid w:val="0074615B"/>
    <w:rsid w:val="007462BC"/>
    <w:rsid w:val="007462E8"/>
    <w:rsid w:val="00746B1D"/>
    <w:rsid w:val="00746CB8"/>
    <w:rsid w:val="007470BB"/>
    <w:rsid w:val="007473EF"/>
    <w:rsid w:val="00747816"/>
    <w:rsid w:val="00747870"/>
    <w:rsid w:val="00747C23"/>
    <w:rsid w:val="00747D5A"/>
    <w:rsid w:val="00750177"/>
    <w:rsid w:val="0075019F"/>
    <w:rsid w:val="007501DC"/>
    <w:rsid w:val="0075074E"/>
    <w:rsid w:val="00750D81"/>
    <w:rsid w:val="007515C1"/>
    <w:rsid w:val="00751F63"/>
    <w:rsid w:val="00752108"/>
    <w:rsid w:val="007521BD"/>
    <w:rsid w:val="007521DA"/>
    <w:rsid w:val="007522AE"/>
    <w:rsid w:val="007526A1"/>
    <w:rsid w:val="00752AE2"/>
    <w:rsid w:val="00752B05"/>
    <w:rsid w:val="00752F2B"/>
    <w:rsid w:val="00753157"/>
    <w:rsid w:val="0075349E"/>
    <w:rsid w:val="007536AE"/>
    <w:rsid w:val="007536C1"/>
    <w:rsid w:val="00753971"/>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FC8"/>
    <w:rsid w:val="00766357"/>
    <w:rsid w:val="0076690C"/>
    <w:rsid w:val="007669F8"/>
    <w:rsid w:val="00766BE5"/>
    <w:rsid w:val="00766C1F"/>
    <w:rsid w:val="00766D18"/>
    <w:rsid w:val="00766F81"/>
    <w:rsid w:val="00767598"/>
    <w:rsid w:val="007675B5"/>
    <w:rsid w:val="007677BB"/>
    <w:rsid w:val="00767A59"/>
    <w:rsid w:val="00767B03"/>
    <w:rsid w:val="007700D9"/>
    <w:rsid w:val="007702BB"/>
    <w:rsid w:val="00770376"/>
    <w:rsid w:val="00770A12"/>
    <w:rsid w:val="00770B1A"/>
    <w:rsid w:val="00770CEA"/>
    <w:rsid w:val="0077130D"/>
    <w:rsid w:val="007721F6"/>
    <w:rsid w:val="007727B5"/>
    <w:rsid w:val="00772DE9"/>
    <w:rsid w:val="00772F50"/>
    <w:rsid w:val="007734CD"/>
    <w:rsid w:val="00773773"/>
    <w:rsid w:val="00774593"/>
    <w:rsid w:val="00775395"/>
    <w:rsid w:val="0077578D"/>
    <w:rsid w:val="00775C6D"/>
    <w:rsid w:val="00775F6E"/>
    <w:rsid w:val="00776269"/>
    <w:rsid w:val="00776A86"/>
    <w:rsid w:val="00776CF8"/>
    <w:rsid w:val="00776D50"/>
    <w:rsid w:val="00777C3C"/>
    <w:rsid w:val="00777DD2"/>
    <w:rsid w:val="00780DC4"/>
    <w:rsid w:val="00780E00"/>
    <w:rsid w:val="0078109D"/>
    <w:rsid w:val="007818F8"/>
    <w:rsid w:val="00782382"/>
    <w:rsid w:val="007825F7"/>
    <w:rsid w:val="0078274F"/>
    <w:rsid w:val="007828DD"/>
    <w:rsid w:val="00782CB0"/>
    <w:rsid w:val="00782E4E"/>
    <w:rsid w:val="00782F7B"/>
    <w:rsid w:val="00783086"/>
    <w:rsid w:val="007831C4"/>
    <w:rsid w:val="0078368A"/>
    <w:rsid w:val="00783AC2"/>
    <w:rsid w:val="0078407C"/>
    <w:rsid w:val="00784361"/>
    <w:rsid w:val="00784463"/>
    <w:rsid w:val="007845B9"/>
    <w:rsid w:val="00784790"/>
    <w:rsid w:val="00784FF8"/>
    <w:rsid w:val="00784FFB"/>
    <w:rsid w:val="00785015"/>
    <w:rsid w:val="007857B0"/>
    <w:rsid w:val="00785C44"/>
    <w:rsid w:val="00785D40"/>
    <w:rsid w:val="00786EB2"/>
    <w:rsid w:val="00786F44"/>
    <w:rsid w:val="007878D3"/>
    <w:rsid w:val="0079036A"/>
    <w:rsid w:val="0079038F"/>
    <w:rsid w:val="0079041F"/>
    <w:rsid w:val="00790A12"/>
    <w:rsid w:val="00790B19"/>
    <w:rsid w:val="00790BE7"/>
    <w:rsid w:val="00790C50"/>
    <w:rsid w:val="00790F90"/>
    <w:rsid w:val="0079176F"/>
    <w:rsid w:val="00791C64"/>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F2E"/>
    <w:rsid w:val="007970EF"/>
    <w:rsid w:val="00797502"/>
    <w:rsid w:val="0079753D"/>
    <w:rsid w:val="00797722"/>
    <w:rsid w:val="00797993"/>
    <w:rsid w:val="00797EAD"/>
    <w:rsid w:val="007A12AD"/>
    <w:rsid w:val="007A12FE"/>
    <w:rsid w:val="007A16F8"/>
    <w:rsid w:val="007A18E9"/>
    <w:rsid w:val="007A1F11"/>
    <w:rsid w:val="007A1F67"/>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7CE"/>
    <w:rsid w:val="007A79DD"/>
    <w:rsid w:val="007A79EC"/>
    <w:rsid w:val="007A7DE9"/>
    <w:rsid w:val="007A7EFF"/>
    <w:rsid w:val="007B0109"/>
    <w:rsid w:val="007B10EE"/>
    <w:rsid w:val="007B11DA"/>
    <w:rsid w:val="007B173E"/>
    <w:rsid w:val="007B1C8B"/>
    <w:rsid w:val="007B1C98"/>
    <w:rsid w:val="007B22A7"/>
    <w:rsid w:val="007B2AFB"/>
    <w:rsid w:val="007B2BC5"/>
    <w:rsid w:val="007B2F77"/>
    <w:rsid w:val="007B32D3"/>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2A1"/>
    <w:rsid w:val="007C3671"/>
    <w:rsid w:val="007C3FCB"/>
    <w:rsid w:val="007C41D5"/>
    <w:rsid w:val="007C49F6"/>
    <w:rsid w:val="007C58E9"/>
    <w:rsid w:val="007C5948"/>
    <w:rsid w:val="007C5A0E"/>
    <w:rsid w:val="007C6284"/>
    <w:rsid w:val="007C6608"/>
    <w:rsid w:val="007C785C"/>
    <w:rsid w:val="007C7F30"/>
    <w:rsid w:val="007D01D7"/>
    <w:rsid w:val="007D037D"/>
    <w:rsid w:val="007D0476"/>
    <w:rsid w:val="007D0B67"/>
    <w:rsid w:val="007D136E"/>
    <w:rsid w:val="007D1462"/>
    <w:rsid w:val="007D18AF"/>
    <w:rsid w:val="007D1C1E"/>
    <w:rsid w:val="007D1E1B"/>
    <w:rsid w:val="007D2BEB"/>
    <w:rsid w:val="007D2C5B"/>
    <w:rsid w:val="007D307B"/>
    <w:rsid w:val="007D3131"/>
    <w:rsid w:val="007D35D3"/>
    <w:rsid w:val="007D3703"/>
    <w:rsid w:val="007D41B4"/>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DC3"/>
    <w:rsid w:val="007F10EF"/>
    <w:rsid w:val="007F15A7"/>
    <w:rsid w:val="007F19D3"/>
    <w:rsid w:val="007F1C3F"/>
    <w:rsid w:val="007F1C4D"/>
    <w:rsid w:val="007F2656"/>
    <w:rsid w:val="007F2780"/>
    <w:rsid w:val="007F304B"/>
    <w:rsid w:val="007F39CE"/>
    <w:rsid w:val="007F3ACC"/>
    <w:rsid w:val="007F3DC9"/>
    <w:rsid w:val="007F3F4D"/>
    <w:rsid w:val="007F4772"/>
    <w:rsid w:val="007F49D2"/>
    <w:rsid w:val="007F4B39"/>
    <w:rsid w:val="007F4F1C"/>
    <w:rsid w:val="007F5E32"/>
    <w:rsid w:val="007F6190"/>
    <w:rsid w:val="007F6680"/>
    <w:rsid w:val="007F6705"/>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939"/>
    <w:rsid w:val="0080243C"/>
    <w:rsid w:val="008024B9"/>
    <w:rsid w:val="008028D8"/>
    <w:rsid w:val="0080357C"/>
    <w:rsid w:val="00803CF1"/>
    <w:rsid w:val="00803F84"/>
    <w:rsid w:val="00804011"/>
    <w:rsid w:val="008042C9"/>
    <w:rsid w:val="008042E0"/>
    <w:rsid w:val="0080432C"/>
    <w:rsid w:val="00804440"/>
    <w:rsid w:val="008047C8"/>
    <w:rsid w:val="00805EB6"/>
    <w:rsid w:val="008062B3"/>
    <w:rsid w:val="00806538"/>
    <w:rsid w:val="00806636"/>
    <w:rsid w:val="0080725B"/>
    <w:rsid w:val="00807393"/>
    <w:rsid w:val="008101B5"/>
    <w:rsid w:val="00810756"/>
    <w:rsid w:val="0081101D"/>
    <w:rsid w:val="00811476"/>
    <w:rsid w:val="00811555"/>
    <w:rsid w:val="00811690"/>
    <w:rsid w:val="00811752"/>
    <w:rsid w:val="008117D5"/>
    <w:rsid w:val="00811BF2"/>
    <w:rsid w:val="00811F2E"/>
    <w:rsid w:val="008126ED"/>
    <w:rsid w:val="008129EB"/>
    <w:rsid w:val="00812AD9"/>
    <w:rsid w:val="00812CBB"/>
    <w:rsid w:val="00812F4A"/>
    <w:rsid w:val="00813254"/>
    <w:rsid w:val="0081335D"/>
    <w:rsid w:val="00813534"/>
    <w:rsid w:val="00813938"/>
    <w:rsid w:val="00813ED0"/>
    <w:rsid w:val="00813F84"/>
    <w:rsid w:val="00814257"/>
    <w:rsid w:val="008143CB"/>
    <w:rsid w:val="00814796"/>
    <w:rsid w:val="008147E2"/>
    <w:rsid w:val="0081485B"/>
    <w:rsid w:val="008149BE"/>
    <w:rsid w:val="00814A14"/>
    <w:rsid w:val="00814F15"/>
    <w:rsid w:val="008153AE"/>
    <w:rsid w:val="00820247"/>
    <w:rsid w:val="0082116A"/>
    <w:rsid w:val="00821622"/>
    <w:rsid w:val="0082165F"/>
    <w:rsid w:val="008217E8"/>
    <w:rsid w:val="00821B30"/>
    <w:rsid w:val="0082203E"/>
    <w:rsid w:val="008223F1"/>
    <w:rsid w:val="0082252D"/>
    <w:rsid w:val="00822962"/>
    <w:rsid w:val="00823082"/>
    <w:rsid w:val="0082323F"/>
    <w:rsid w:val="008238E7"/>
    <w:rsid w:val="00823D62"/>
    <w:rsid w:val="00823DCC"/>
    <w:rsid w:val="008252BB"/>
    <w:rsid w:val="00825405"/>
    <w:rsid w:val="0082612B"/>
    <w:rsid w:val="008264F1"/>
    <w:rsid w:val="00826DB0"/>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005"/>
    <w:rsid w:val="0083260C"/>
    <w:rsid w:val="008329E3"/>
    <w:rsid w:val="00832A15"/>
    <w:rsid w:val="008330ED"/>
    <w:rsid w:val="00833705"/>
    <w:rsid w:val="008342B2"/>
    <w:rsid w:val="0083458A"/>
    <w:rsid w:val="00834883"/>
    <w:rsid w:val="00834958"/>
    <w:rsid w:val="00834A62"/>
    <w:rsid w:val="00834CC3"/>
    <w:rsid w:val="00835754"/>
    <w:rsid w:val="00835965"/>
    <w:rsid w:val="00835DCB"/>
    <w:rsid w:val="008361E4"/>
    <w:rsid w:val="00836332"/>
    <w:rsid w:val="00836557"/>
    <w:rsid w:val="00836757"/>
    <w:rsid w:val="00836B10"/>
    <w:rsid w:val="00836DA8"/>
    <w:rsid w:val="00836EE6"/>
    <w:rsid w:val="00837946"/>
    <w:rsid w:val="00837D7E"/>
    <w:rsid w:val="00837D9C"/>
    <w:rsid w:val="00840019"/>
    <w:rsid w:val="00840ACA"/>
    <w:rsid w:val="00840BCE"/>
    <w:rsid w:val="008416C7"/>
    <w:rsid w:val="008416D9"/>
    <w:rsid w:val="0084189B"/>
    <w:rsid w:val="00841D5F"/>
    <w:rsid w:val="00841E16"/>
    <w:rsid w:val="008423F5"/>
    <w:rsid w:val="008429B3"/>
    <w:rsid w:val="00842C5F"/>
    <w:rsid w:val="0084315C"/>
    <w:rsid w:val="0084352A"/>
    <w:rsid w:val="0084357F"/>
    <w:rsid w:val="008436A1"/>
    <w:rsid w:val="00843785"/>
    <w:rsid w:val="008438FF"/>
    <w:rsid w:val="0084392F"/>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450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1089"/>
    <w:rsid w:val="0086117F"/>
    <w:rsid w:val="008611CD"/>
    <w:rsid w:val="008612AD"/>
    <w:rsid w:val="0086199A"/>
    <w:rsid w:val="00862602"/>
    <w:rsid w:val="008627E1"/>
    <w:rsid w:val="00862EEA"/>
    <w:rsid w:val="00862F19"/>
    <w:rsid w:val="00863044"/>
    <w:rsid w:val="00863884"/>
    <w:rsid w:val="0086391B"/>
    <w:rsid w:val="0086479A"/>
    <w:rsid w:val="008647F3"/>
    <w:rsid w:val="008648CF"/>
    <w:rsid w:val="00864B16"/>
    <w:rsid w:val="00864B8A"/>
    <w:rsid w:val="00864C02"/>
    <w:rsid w:val="00865242"/>
    <w:rsid w:val="008652A8"/>
    <w:rsid w:val="008654C3"/>
    <w:rsid w:val="00865AA0"/>
    <w:rsid w:val="00865AE7"/>
    <w:rsid w:val="00865B0E"/>
    <w:rsid w:val="00865B8B"/>
    <w:rsid w:val="00865E20"/>
    <w:rsid w:val="00866D54"/>
    <w:rsid w:val="00867255"/>
    <w:rsid w:val="0086758F"/>
    <w:rsid w:val="008675E4"/>
    <w:rsid w:val="008678CB"/>
    <w:rsid w:val="0086798E"/>
    <w:rsid w:val="00867A40"/>
    <w:rsid w:val="00867D47"/>
    <w:rsid w:val="00867D5A"/>
    <w:rsid w:val="008701AC"/>
    <w:rsid w:val="00870223"/>
    <w:rsid w:val="00870275"/>
    <w:rsid w:val="008707A7"/>
    <w:rsid w:val="008707C7"/>
    <w:rsid w:val="00870B5F"/>
    <w:rsid w:val="00870DDD"/>
    <w:rsid w:val="0087105A"/>
    <w:rsid w:val="008714BE"/>
    <w:rsid w:val="0087162B"/>
    <w:rsid w:val="00871E20"/>
    <w:rsid w:val="0087272D"/>
    <w:rsid w:val="00872C5C"/>
    <w:rsid w:val="00872D1A"/>
    <w:rsid w:val="008733A0"/>
    <w:rsid w:val="008734D6"/>
    <w:rsid w:val="00873AA5"/>
    <w:rsid w:val="00873CAB"/>
    <w:rsid w:val="00873CC2"/>
    <w:rsid w:val="008743DE"/>
    <w:rsid w:val="008746DE"/>
    <w:rsid w:val="008749FA"/>
    <w:rsid w:val="00874B8E"/>
    <w:rsid w:val="008751E6"/>
    <w:rsid w:val="00875531"/>
    <w:rsid w:val="00875D58"/>
    <w:rsid w:val="00875FCA"/>
    <w:rsid w:val="0087618A"/>
    <w:rsid w:val="0087620E"/>
    <w:rsid w:val="0087663F"/>
    <w:rsid w:val="00876B28"/>
    <w:rsid w:val="00876BAC"/>
    <w:rsid w:val="00876D36"/>
    <w:rsid w:val="00877313"/>
    <w:rsid w:val="00877329"/>
    <w:rsid w:val="00877F12"/>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B5C"/>
    <w:rsid w:val="00883CF0"/>
    <w:rsid w:val="00883D6F"/>
    <w:rsid w:val="0088444F"/>
    <w:rsid w:val="008846BA"/>
    <w:rsid w:val="00884B75"/>
    <w:rsid w:val="00884E3B"/>
    <w:rsid w:val="00885074"/>
    <w:rsid w:val="00885991"/>
    <w:rsid w:val="008859EB"/>
    <w:rsid w:val="00885BB1"/>
    <w:rsid w:val="00885BB6"/>
    <w:rsid w:val="008861F5"/>
    <w:rsid w:val="0088669D"/>
    <w:rsid w:val="0088681B"/>
    <w:rsid w:val="00886FC8"/>
    <w:rsid w:val="008871CE"/>
    <w:rsid w:val="00887279"/>
    <w:rsid w:val="0088728A"/>
    <w:rsid w:val="00887338"/>
    <w:rsid w:val="0088798D"/>
    <w:rsid w:val="008879AF"/>
    <w:rsid w:val="00890253"/>
    <w:rsid w:val="008902C0"/>
    <w:rsid w:val="00890797"/>
    <w:rsid w:val="00890AB0"/>
    <w:rsid w:val="00891487"/>
    <w:rsid w:val="00891B06"/>
    <w:rsid w:val="00892910"/>
    <w:rsid w:val="00892AA2"/>
    <w:rsid w:val="00892C3E"/>
    <w:rsid w:val="00892E48"/>
    <w:rsid w:val="00892F75"/>
    <w:rsid w:val="0089316C"/>
    <w:rsid w:val="008933F4"/>
    <w:rsid w:val="0089355D"/>
    <w:rsid w:val="00893934"/>
    <w:rsid w:val="00893B5A"/>
    <w:rsid w:val="00893B9A"/>
    <w:rsid w:val="00893DCE"/>
    <w:rsid w:val="00893E9F"/>
    <w:rsid w:val="00895338"/>
    <w:rsid w:val="0089534A"/>
    <w:rsid w:val="00895491"/>
    <w:rsid w:val="00895CD6"/>
    <w:rsid w:val="00896066"/>
    <w:rsid w:val="00896082"/>
    <w:rsid w:val="008960B0"/>
    <w:rsid w:val="00896ED1"/>
    <w:rsid w:val="00896F84"/>
    <w:rsid w:val="00897033"/>
    <w:rsid w:val="008971BD"/>
    <w:rsid w:val="0089795D"/>
    <w:rsid w:val="00897B6A"/>
    <w:rsid w:val="00897D04"/>
    <w:rsid w:val="00897D1E"/>
    <w:rsid w:val="008A1940"/>
    <w:rsid w:val="008A1CA0"/>
    <w:rsid w:val="008A2C7C"/>
    <w:rsid w:val="008A2FBA"/>
    <w:rsid w:val="008A3493"/>
    <w:rsid w:val="008A3614"/>
    <w:rsid w:val="008A385D"/>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97F"/>
    <w:rsid w:val="008A7DBB"/>
    <w:rsid w:val="008A7EAD"/>
    <w:rsid w:val="008B09EE"/>
    <w:rsid w:val="008B126D"/>
    <w:rsid w:val="008B1383"/>
    <w:rsid w:val="008B1703"/>
    <w:rsid w:val="008B18CE"/>
    <w:rsid w:val="008B1B90"/>
    <w:rsid w:val="008B20B2"/>
    <w:rsid w:val="008B269F"/>
    <w:rsid w:val="008B2929"/>
    <w:rsid w:val="008B397D"/>
    <w:rsid w:val="008B3B1C"/>
    <w:rsid w:val="008B3BEB"/>
    <w:rsid w:val="008B3EF2"/>
    <w:rsid w:val="008B4865"/>
    <w:rsid w:val="008B49C6"/>
    <w:rsid w:val="008B59FA"/>
    <w:rsid w:val="008B5BC4"/>
    <w:rsid w:val="008B62F4"/>
    <w:rsid w:val="008B64CE"/>
    <w:rsid w:val="008B6C0F"/>
    <w:rsid w:val="008B6EED"/>
    <w:rsid w:val="008B70FE"/>
    <w:rsid w:val="008B7656"/>
    <w:rsid w:val="008C05F3"/>
    <w:rsid w:val="008C0BDA"/>
    <w:rsid w:val="008C0D60"/>
    <w:rsid w:val="008C0F92"/>
    <w:rsid w:val="008C1080"/>
    <w:rsid w:val="008C131A"/>
    <w:rsid w:val="008C186F"/>
    <w:rsid w:val="008C242F"/>
    <w:rsid w:val="008C25CC"/>
    <w:rsid w:val="008C2884"/>
    <w:rsid w:val="008C28C7"/>
    <w:rsid w:val="008C2CBA"/>
    <w:rsid w:val="008C2D29"/>
    <w:rsid w:val="008C3279"/>
    <w:rsid w:val="008C33B5"/>
    <w:rsid w:val="008C3A0C"/>
    <w:rsid w:val="008C3B52"/>
    <w:rsid w:val="008C3FF6"/>
    <w:rsid w:val="008C4839"/>
    <w:rsid w:val="008C5783"/>
    <w:rsid w:val="008C6058"/>
    <w:rsid w:val="008C70AD"/>
    <w:rsid w:val="008C7405"/>
    <w:rsid w:val="008C7D55"/>
    <w:rsid w:val="008C7F10"/>
    <w:rsid w:val="008C7F4D"/>
    <w:rsid w:val="008D002C"/>
    <w:rsid w:val="008D037A"/>
    <w:rsid w:val="008D0688"/>
    <w:rsid w:val="008D0A08"/>
    <w:rsid w:val="008D0B84"/>
    <w:rsid w:val="008D1C96"/>
    <w:rsid w:val="008D1E6F"/>
    <w:rsid w:val="008D229B"/>
    <w:rsid w:val="008D23A6"/>
    <w:rsid w:val="008D252B"/>
    <w:rsid w:val="008D276E"/>
    <w:rsid w:val="008D2D7B"/>
    <w:rsid w:val="008D2E8F"/>
    <w:rsid w:val="008D3C9C"/>
    <w:rsid w:val="008D4C85"/>
    <w:rsid w:val="008D4CD1"/>
    <w:rsid w:val="008D5242"/>
    <w:rsid w:val="008D536B"/>
    <w:rsid w:val="008D5541"/>
    <w:rsid w:val="008D660D"/>
    <w:rsid w:val="008D6F26"/>
    <w:rsid w:val="008D7915"/>
    <w:rsid w:val="008D7994"/>
    <w:rsid w:val="008D7F32"/>
    <w:rsid w:val="008E0065"/>
    <w:rsid w:val="008E01AC"/>
    <w:rsid w:val="008E0421"/>
    <w:rsid w:val="008E074A"/>
    <w:rsid w:val="008E10FB"/>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580"/>
    <w:rsid w:val="008E679C"/>
    <w:rsid w:val="008E6A1E"/>
    <w:rsid w:val="008E6CB7"/>
    <w:rsid w:val="008E793F"/>
    <w:rsid w:val="008E7BDE"/>
    <w:rsid w:val="008E7CFD"/>
    <w:rsid w:val="008E7DFA"/>
    <w:rsid w:val="008F0723"/>
    <w:rsid w:val="008F097F"/>
    <w:rsid w:val="008F11C6"/>
    <w:rsid w:val="008F1A8E"/>
    <w:rsid w:val="008F1E43"/>
    <w:rsid w:val="008F22BA"/>
    <w:rsid w:val="008F2620"/>
    <w:rsid w:val="008F2D0B"/>
    <w:rsid w:val="008F3218"/>
    <w:rsid w:val="008F3355"/>
    <w:rsid w:val="008F397D"/>
    <w:rsid w:val="008F3E2C"/>
    <w:rsid w:val="008F4541"/>
    <w:rsid w:val="008F477F"/>
    <w:rsid w:val="008F47C0"/>
    <w:rsid w:val="008F495F"/>
    <w:rsid w:val="008F527B"/>
    <w:rsid w:val="008F5605"/>
    <w:rsid w:val="008F563E"/>
    <w:rsid w:val="008F5855"/>
    <w:rsid w:val="008F591D"/>
    <w:rsid w:val="008F5938"/>
    <w:rsid w:val="008F5ED5"/>
    <w:rsid w:val="008F6698"/>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FC"/>
    <w:rsid w:val="00907520"/>
    <w:rsid w:val="00907CCE"/>
    <w:rsid w:val="00910104"/>
    <w:rsid w:val="00910611"/>
    <w:rsid w:val="00910707"/>
    <w:rsid w:val="00910D61"/>
    <w:rsid w:val="00910D64"/>
    <w:rsid w:val="0091119F"/>
    <w:rsid w:val="0091139C"/>
    <w:rsid w:val="009118F9"/>
    <w:rsid w:val="0091197F"/>
    <w:rsid w:val="0091363D"/>
    <w:rsid w:val="00913977"/>
    <w:rsid w:val="00914203"/>
    <w:rsid w:val="00914874"/>
    <w:rsid w:val="00914ABA"/>
    <w:rsid w:val="009163F2"/>
    <w:rsid w:val="0091760A"/>
    <w:rsid w:val="00917929"/>
    <w:rsid w:val="00917B5D"/>
    <w:rsid w:val="00917F6F"/>
    <w:rsid w:val="009209E3"/>
    <w:rsid w:val="009228DD"/>
    <w:rsid w:val="00922EDF"/>
    <w:rsid w:val="009231C2"/>
    <w:rsid w:val="0092329A"/>
    <w:rsid w:val="009237DF"/>
    <w:rsid w:val="009244F6"/>
    <w:rsid w:val="009247F8"/>
    <w:rsid w:val="00925048"/>
    <w:rsid w:val="0092560D"/>
    <w:rsid w:val="00925867"/>
    <w:rsid w:val="00925991"/>
    <w:rsid w:val="00925DD5"/>
    <w:rsid w:val="0092645A"/>
    <w:rsid w:val="0092649C"/>
    <w:rsid w:val="0092752C"/>
    <w:rsid w:val="00927F34"/>
    <w:rsid w:val="00927FEA"/>
    <w:rsid w:val="00930216"/>
    <w:rsid w:val="00930971"/>
    <w:rsid w:val="00930A51"/>
    <w:rsid w:val="00930BBA"/>
    <w:rsid w:val="00931230"/>
    <w:rsid w:val="00931A98"/>
    <w:rsid w:val="00931AE0"/>
    <w:rsid w:val="00931D40"/>
    <w:rsid w:val="009321E6"/>
    <w:rsid w:val="0093234D"/>
    <w:rsid w:val="00932427"/>
    <w:rsid w:val="0093252D"/>
    <w:rsid w:val="0093280E"/>
    <w:rsid w:val="00932CCE"/>
    <w:rsid w:val="00933146"/>
    <w:rsid w:val="0093331C"/>
    <w:rsid w:val="00933427"/>
    <w:rsid w:val="009335CA"/>
    <w:rsid w:val="0093385E"/>
    <w:rsid w:val="00933951"/>
    <w:rsid w:val="00933FBB"/>
    <w:rsid w:val="009341FF"/>
    <w:rsid w:val="00934388"/>
    <w:rsid w:val="00934643"/>
    <w:rsid w:val="00934780"/>
    <w:rsid w:val="009348A1"/>
    <w:rsid w:val="00935E72"/>
    <w:rsid w:val="00936232"/>
    <w:rsid w:val="00936CD8"/>
    <w:rsid w:val="00936ED8"/>
    <w:rsid w:val="009370E1"/>
    <w:rsid w:val="009370FC"/>
    <w:rsid w:val="009372F7"/>
    <w:rsid w:val="009375DD"/>
    <w:rsid w:val="00937C62"/>
    <w:rsid w:val="00940600"/>
    <w:rsid w:val="00940870"/>
    <w:rsid w:val="00940879"/>
    <w:rsid w:val="00940BD8"/>
    <w:rsid w:val="00940DB8"/>
    <w:rsid w:val="009410EF"/>
    <w:rsid w:val="00941155"/>
    <w:rsid w:val="00941815"/>
    <w:rsid w:val="00941C32"/>
    <w:rsid w:val="00941F80"/>
    <w:rsid w:val="009423D8"/>
    <w:rsid w:val="009425F9"/>
    <w:rsid w:val="0094283B"/>
    <w:rsid w:val="00942938"/>
    <w:rsid w:val="00942977"/>
    <w:rsid w:val="00942FC0"/>
    <w:rsid w:val="00943219"/>
    <w:rsid w:val="009435B6"/>
    <w:rsid w:val="0094373F"/>
    <w:rsid w:val="00943916"/>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70CB"/>
    <w:rsid w:val="00947AC3"/>
    <w:rsid w:val="00950162"/>
    <w:rsid w:val="0095087D"/>
    <w:rsid w:val="009509FD"/>
    <w:rsid w:val="00950CE7"/>
    <w:rsid w:val="009515B5"/>
    <w:rsid w:val="00951789"/>
    <w:rsid w:val="00951AE4"/>
    <w:rsid w:val="00952538"/>
    <w:rsid w:val="00952855"/>
    <w:rsid w:val="00952F39"/>
    <w:rsid w:val="00953349"/>
    <w:rsid w:val="0095402D"/>
    <w:rsid w:val="00954A06"/>
    <w:rsid w:val="00954B9B"/>
    <w:rsid w:val="00955867"/>
    <w:rsid w:val="00955916"/>
    <w:rsid w:val="009564ED"/>
    <w:rsid w:val="00956793"/>
    <w:rsid w:val="00956846"/>
    <w:rsid w:val="00956CDF"/>
    <w:rsid w:val="00956D70"/>
    <w:rsid w:val="009572D6"/>
    <w:rsid w:val="009576DA"/>
    <w:rsid w:val="00957B8B"/>
    <w:rsid w:val="009604C0"/>
    <w:rsid w:val="00960533"/>
    <w:rsid w:val="00960746"/>
    <w:rsid w:val="00960888"/>
    <w:rsid w:val="00960D4C"/>
    <w:rsid w:val="00960E77"/>
    <w:rsid w:val="009611CD"/>
    <w:rsid w:val="00961311"/>
    <w:rsid w:val="00961651"/>
    <w:rsid w:val="00961B6C"/>
    <w:rsid w:val="0096213D"/>
    <w:rsid w:val="00962560"/>
    <w:rsid w:val="00962A3E"/>
    <w:rsid w:val="00962A99"/>
    <w:rsid w:val="00962EEC"/>
    <w:rsid w:val="0096341A"/>
    <w:rsid w:val="00963E89"/>
    <w:rsid w:val="0096408F"/>
    <w:rsid w:val="00964425"/>
    <w:rsid w:val="009646D2"/>
    <w:rsid w:val="00964AA5"/>
    <w:rsid w:val="00965DA7"/>
    <w:rsid w:val="00965E56"/>
    <w:rsid w:val="00965F20"/>
    <w:rsid w:val="00966232"/>
    <w:rsid w:val="009664C7"/>
    <w:rsid w:val="00967CA0"/>
    <w:rsid w:val="00970364"/>
    <w:rsid w:val="0097047F"/>
    <w:rsid w:val="00970D4B"/>
    <w:rsid w:val="00970F83"/>
    <w:rsid w:val="0097177B"/>
    <w:rsid w:val="00971A3E"/>
    <w:rsid w:val="00971DB8"/>
    <w:rsid w:val="00972435"/>
    <w:rsid w:val="00972A71"/>
    <w:rsid w:val="009732AB"/>
    <w:rsid w:val="0097338C"/>
    <w:rsid w:val="00973F9D"/>
    <w:rsid w:val="0097581F"/>
    <w:rsid w:val="00975880"/>
    <w:rsid w:val="00975C6D"/>
    <w:rsid w:val="00976185"/>
    <w:rsid w:val="00976CB7"/>
    <w:rsid w:val="0097719C"/>
    <w:rsid w:val="00977CE8"/>
    <w:rsid w:val="00977D86"/>
    <w:rsid w:val="009801B6"/>
    <w:rsid w:val="00980FD5"/>
    <w:rsid w:val="009814BA"/>
    <w:rsid w:val="00981964"/>
    <w:rsid w:val="00981B3B"/>
    <w:rsid w:val="00981DF3"/>
    <w:rsid w:val="00981E05"/>
    <w:rsid w:val="009823AB"/>
    <w:rsid w:val="0098247E"/>
    <w:rsid w:val="0098254A"/>
    <w:rsid w:val="00982786"/>
    <w:rsid w:val="00982AAE"/>
    <w:rsid w:val="00982BE2"/>
    <w:rsid w:val="00982C3A"/>
    <w:rsid w:val="00982EED"/>
    <w:rsid w:val="0098327C"/>
    <w:rsid w:val="009832C1"/>
    <w:rsid w:val="009836AF"/>
    <w:rsid w:val="009845A3"/>
    <w:rsid w:val="009848A7"/>
    <w:rsid w:val="00984C26"/>
    <w:rsid w:val="00984CE3"/>
    <w:rsid w:val="0098525B"/>
    <w:rsid w:val="00985277"/>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803"/>
    <w:rsid w:val="009923C2"/>
    <w:rsid w:val="00992AEB"/>
    <w:rsid w:val="00992ECB"/>
    <w:rsid w:val="00992FC9"/>
    <w:rsid w:val="0099305B"/>
    <w:rsid w:val="0099349E"/>
    <w:rsid w:val="009939D8"/>
    <w:rsid w:val="00993ABF"/>
    <w:rsid w:val="00993E62"/>
    <w:rsid w:val="00994642"/>
    <w:rsid w:val="00994811"/>
    <w:rsid w:val="00995573"/>
    <w:rsid w:val="0099621C"/>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D3D"/>
    <w:rsid w:val="009A25BB"/>
    <w:rsid w:val="009A2654"/>
    <w:rsid w:val="009A27DF"/>
    <w:rsid w:val="009A2BA1"/>
    <w:rsid w:val="009A2D35"/>
    <w:rsid w:val="009A38D8"/>
    <w:rsid w:val="009A39E3"/>
    <w:rsid w:val="009A3E82"/>
    <w:rsid w:val="009A4299"/>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620"/>
    <w:rsid w:val="009B3D5C"/>
    <w:rsid w:val="009B3D80"/>
    <w:rsid w:val="009B4385"/>
    <w:rsid w:val="009B4CB4"/>
    <w:rsid w:val="009B4EE7"/>
    <w:rsid w:val="009B51C7"/>
    <w:rsid w:val="009B5328"/>
    <w:rsid w:val="009B5413"/>
    <w:rsid w:val="009B5D4D"/>
    <w:rsid w:val="009B65DA"/>
    <w:rsid w:val="009B662B"/>
    <w:rsid w:val="009B6CD8"/>
    <w:rsid w:val="009B6D52"/>
    <w:rsid w:val="009B7112"/>
    <w:rsid w:val="009B7575"/>
    <w:rsid w:val="009B7711"/>
    <w:rsid w:val="009C000B"/>
    <w:rsid w:val="009C0097"/>
    <w:rsid w:val="009C0498"/>
    <w:rsid w:val="009C0C35"/>
    <w:rsid w:val="009C1262"/>
    <w:rsid w:val="009C1B7D"/>
    <w:rsid w:val="009C2060"/>
    <w:rsid w:val="009C2493"/>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A3A"/>
    <w:rsid w:val="009C6F98"/>
    <w:rsid w:val="009C76FD"/>
    <w:rsid w:val="009C78E9"/>
    <w:rsid w:val="009C7B91"/>
    <w:rsid w:val="009D01BF"/>
    <w:rsid w:val="009D0974"/>
    <w:rsid w:val="009D0A75"/>
    <w:rsid w:val="009D0AC5"/>
    <w:rsid w:val="009D111E"/>
    <w:rsid w:val="009D11E4"/>
    <w:rsid w:val="009D1F17"/>
    <w:rsid w:val="009D214A"/>
    <w:rsid w:val="009D243B"/>
    <w:rsid w:val="009D2576"/>
    <w:rsid w:val="009D26DF"/>
    <w:rsid w:val="009D2910"/>
    <w:rsid w:val="009D2DAB"/>
    <w:rsid w:val="009D301C"/>
    <w:rsid w:val="009D3654"/>
    <w:rsid w:val="009D3876"/>
    <w:rsid w:val="009D3E62"/>
    <w:rsid w:val="009D3EF2"/>
    <w:rsid w:val="009D4132"/>
    <w:rsid w:val="009D48DA"/>
    <w:rsid w:val="009D517C"/>
    <w:rsid w:val="009D5D3A"/>
    <w:rsid w:val="009D66E2"/>
    <w:rsid w:val="009D71D0"/>
    <w:rsid w:val="009D72FF"/>
    <w:rsid w:val="009D75B8"/>
    <w:rsid w:val="009E03C9"/>
    <w:rsid w:val="009E0FAD"/>
    <w:rsid w:val="009E222A"/>
    <w:rsid w:val="009E2269"/>
    <w:rsid w:val="009E2BFB"/>
    <w:rsid w:val="009E3206"/>
    <w:rsid w:val="009E37BC"/>
    <w:rsid w:val="009E3807"/>
    <w:rsid w:val="009E38BC"/>
    <w:rsid w:val="009E403B"/>
    <w:rsid w:val="009E447D"/>
    <w:rsid w:val="009E44E5"/>
    <w:rsid w:val="009E4B3D"/>
    <w:rsid w:val="009E5B6D"/>
    <w:rsid w:val="009E5CF1"/>
    <w:rsid w:val="009E66EC"/>
    <w:rsid w:val="009E67D1"/>
    <w:rsid w:val="009E6951"/>
    <w:rsid w:val="009E6D81"/>
    <w:rsid w:val="009E754E"/>
    <w:rsid w:val="009E75C1"/>
    <w:rsid w:val="009E775E"/>
    <w:rsid w:val="009F06C3"/>
    <w:rsid w:val="009F0730"/>
    <w:rsid w:val="009F0961"/>
    <w:rsid w:val="009F13EE"/>
    <w:rsid w:val="009F15B7"/>
    <w:rsid w:val="009F1774"/>
    <w:rsid w:val="009F17AC"/>
    <w:rsid w:val="009F17C7"/>
    <w:rsid w:val="009F1A8A"/>
    <w:rsid w:val="009F2287"/>
    <w:rsid w:val="009F2545"/>
    <w:rsid w:val="009F26B9"/>
    <w:rsid w:val="009F2A9E"/>
    <w:rsid w:val="009F2AFD"/>
    <w:rsid w:val="009F3512"/>
    <w:rsid w:val="009F36C9"/>
    <w:rsid w:val="009F3FBC"/>
    <w:rsid w:val="009F5036"/>
    <w:rsid w:val="009F6895"/>
    <w:rsid w:val="009F7130"/>
    <w:rsid w:val="009F71F6"/>
    <w:rsid w:val="009F7830"/>
    <w:rsid w:val="00A009FA"/>
    <w:rsid w:val="00A00CE6"/>
    <w:rsid w:val="00A01552"/>
    <w:rsid w:val="00A0163A"/>
    <w:rsid w:val="00A01658"/>
    <w:rsid w:val="00A0170C"/>
    <w:rsid w:val="00A0183B"/>
    <w:rsid w:val="00A0199C"/>
    <w:rsid w:val="00A01A77"/>
    <w:rsid w:val="00A01C4F"/>
    <w:rsid w:val="00A024CA"/>
    <w:rsid w:val="00A02A77"/>
    <w:rsid w:val="00A03A72"/>
    <w:rsid w:val="00A040BE"/>
    <w:rsid w:val="00A056E3"/>
    <w:rsid w:val="00A05DFB"/>
    <w:rsid w:val="00A06460"/>
    <w:rsid w:val="00A06D9B"/>
    <w:rsid w:val="00A070DA"/>
    <w:rsid w:val="00A07122"/>
    <w:rsid w:val="00A07576"/>
    <w:rsid w:val="00A0778F"/>
    <w:rsid w:val="00A07E78"/>
    <w:rsid w:val="00A07F1F"/>
    <w:rsid w:val="00A10026"/>
    <w:rsid w:val="00A10082"/>
    <w:rsid w:val="00A101FF"/>
    <w:rsid w:val="00A10832"/>
    <w:rsid w:val="00A1131E"/>
    <w:rsid w:val="00A1139A"/>
    <w:rsid w:val="00A11833"/>
    <w:rsid w:val="00A1207D"/>
    <w:rsid w:val="00A12539"/>
    <w:rsid w:val="00A127B8"/>
    <w:rsid w:val="00A12D5A"/>
    <w:rsid w:val="00A131CB"/>
    <w:rsid w:val="00A13341"/>
    <w:rsid w:val="00A13947"/>
    <w:rsid w:val="00A13E05"/>
    <w:rsid w:val="00A14792"/>
    <w:rsid w:val="00A15910"/>
    <w:rsid w:val="00A165ED"/>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35B"/>
    <w:rsid w:val="00A251B6"/>
    <w:rsid w:val="00A255AF"/>
    <w:rsid w:val="00A25653"/>
    <w:rsid w:val="00A25C5E"/>
    <w:rsid w:val="00A25F60"/>
    <w:rsid w:val="00A26006"/>
    <w:rsid w:val="00A2677B"/>
    <w:rsid w:val="00A26789"/>
    <w:rsid w:val="00A2725C"/>
    <w:rsid w:val="00A272EF"/>
    <w:rsid w:val="00A2754E"/>
    <w:rsid w:val="00A27858"/>
    <w:rsid w:val="00A3014A"/>
    <w:rsid w:val="00A30266"/>
    <w:rsid w:val="00A30592"/>
    <w:rsid w:val="00A306C9"/>
    <w:rsid w:val="00A31229"/>
    <w:rsid w:val="00A31376"/>
    <w:rsid w:val="00A31836"/>
    <w:rsid w:val="00A31A52"/>
    <w:rsid w:val="00A31F4B"/>
    <w:rsid w:val="00A323F7"/>
    <w:rsid w:val="00A326E0"/>
    <w:rsid w:val="00A329E3"/>
    <w:rsid w:val="00A3311F"/>
    <w:rsid w:val="00A339EA"/>
    <w:rsid w:val="00A33D88"/>
    <w:rsid w:val="00A34010"/>
    <w:rsid w:val="00A34822"/>
    <w:rsid w:val="00A348FF"/>
    <w:rsid w:val="00A34BBD"/>
    <w:rsid w:val="00A34DE7"/>
    <w:rsid w:val="00A34EFF"/>
    <w:rsid w:val="00A354DE"/>
    <w:rsid w:val="00A35520"/>
    <w:rsid w:val="00A35737"/>
    <w:rsid w:val="00A358C3"/>
    <w:rsid w:val="00A35BC6"/>
    <w:rsid w:val="00A3679E"/>
    <w:rsid w:val="00A36EF2"/>
    <w:rsid w:val="00A37496"/>
    <w:rsid w:val="00A3769E"/>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EA"/>
    <w:rsid w:val="00A43558"/>
    <w:rsid w:val="00A43AA4"/>
    <w:rsid w:val="00A43B30"/>
    <w:rsid w:val="00A44108"/>
    <w:rsid w:val="00A4477A"/>
    <w:rsid w:val="00A44993"/>
    <w:rsid w:val="00A457E1"/>
    <w:rsid w:val="00A45B6E"/>
    <w:rsid w:val="00A45D21"/>
    <w:rsid w:val="00A45D6B"/>
    <w:rsid w:val="00A46255"/>
    <w:rsid w:val="00A466FB"/>
    <w:rsid w:val="00A46765"/>
    <w:rsid w:val="00A47672"/>
    <w:rsid w:val="00A4777A"/>
    <w:rsid w:val="00A47A14"/>
    <w:rsid w:val="00A47C4F"/>
    <w:rsid w:val="00A47EA4"/>
    <w:rsid w:val="00A50595"/>
    <w:rsid w:val="00A50767"/>
    <w:rsid w:val="00A50DC7"/>
    <w:rsid w:val="00A50E1B"/>
    <w:rsid w:val="00A50F38"/>
    <w:rsid w:val="00A5140E"/>
    <w:rsid w:val="00A514AD"/>
    <w:rsid w:val="00A517D4"/>
    <w:rsid w:val="00A518EA"/>
    <w:rsid w:val="00A5196A"/>
    <w:rsid w:val="00A52111"/>
    <w:rsid w:val="00A5218C"/>
    <w:rsid w:val="00A523FD"/>
    <w:rsid w:val="00A524D1"/>
    <w:rsid w:val="00A526ED"/>
    <w:rsid w:val="00A527F3"/>
    <w:rsid w:val="00A52B17"/>
    <w:rsid w:val="00A52CF2"/>
    <w:rsid w:val="00A53209"/>
    <w:rsid w:val="00A53A90"/>
    <w:rsid w:val="00A53B11"/>
    <w:rsid w:val="00A5482A"/>
    <w:rsid w:val="00A549C9"/>
    <w:rsid w:val="00A54E7B"/>
    <w:rsid w:val="00A54FA2"/>
    <w:rsid w:val="00A554BC"/>
    <w:rsid w:val="00A55B07"/>
    <w:rsid w:val="00A56166"/>
    <w:rsid w:val="00A56D6B"/>
    <w:rsid w:val="00A56DC5"/>
    <w:rsid w:val="00A57FF7"/>
    <w:rsid w:val="00A603FB"/>
    <w:rsid w:val="00A6042D"/>
    <w:rsid w:val="00A6087A"/>
    <w:rsid w:val="00A60957"/>
    <w:rsid w:val="00A60B6E"/>
    <w:rsid w:val="00A617A4"/>
    <w:rsid w:val="00A61E98"/>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6BC6"/>
    <w:rsid w:val="00A671C5"/>
    <w:rsid w:val="00A67CED"/>
    <w:rsid w:val="00A67F05"/>
    <w:rsid w:val="00A67F2F"/>
    <w:rsid w:val="00A70683"/>
    <w:rsid w:val="00A7096D"/>
    <w:rsid w:val="00A70FAB"/>
    <w:rsid w:val="00A71007"/>
    <w:rsid w:val="00A710C3"/>
    <w:rsid w:val="00A717F1"/>
    <w:rsid w:val="00A71AAB"/>
    <w:rsid w:val="00A71AF6"/>
    <w:rsid w:val="00A71C1B"/>
    <w:rsid w:val="00A71F77"/>
    <w:rsid w:val="00A725EF"/>
    <w:rsid w:val="00A72FBC"/>
    <w:rsid w:val="00A7315C"/>
    <w:rsid w:val="00A735BD"/>
    <w:rsid w:val="00A739B3"/>
    <w:rsid w:val="00A73D9C"/>
    <w:rsid w:val="00A7472E"/>
    <w:rsid w:val="00A74D6D"/>
    <w:rsid w:val="00A75184"/>
    <w:rsid w:val="00A751A3"/>
    <w:rsid w:val="00A75347"/>
    <w:rsid w:val="00A75431"/>
    <w:rsid w:val="00A761C3"/>
    <w:rsid w:val="00A76348"/>
    <w:rsid w:val="00A76DA0"/>
    <w:rsid w:val="00A77222"/>
    <w:rsid w:val="00A772CD"/>
    <w:rsid w:val="00A778D1"/>
    <w:rsid w:val="00A77A7B"/>
    <w:rsid w:val="00A77E21"/>
    <w:rsid w:val="00A807F9"/>
    <w:rsid w:val="00A80952"/>
    <w:rsid w:val="00A80DB4"/>
    <w:rsid w:val="00A80F2B"/>
    <w:rsid w:val="00A816EF"/>
    <w:rsid w:val="00A81A84"/>
    <w:rsid w:val="00A81DA6"/>
    <w:rsid w:val="00A81E39"/>
    <w:rsid w:val="00A82607"/>
    <w:rsid w:val="00A83806"/>
    <w:rsid w:val="00A83831"/>
    <w:rsid w:val="00A83AAB"/>
    <w:rsid w:val="00A83DC0"/>
    <w:rsid w:val="00A840AD"/>
    <w:rsid w:val="00A84235"/>
    <w:rsid w:val="00A844D4"/>
    <w:rsid w:val="00A8459F"/>
    <w:rsid w:val="00A84897"/>
    <w:rsid w:val="00A84C9E"/>
    <w:rsid w:val="00A85881"/>
    <w:rsid w:val="00A85CE6"/>
    <w:rsid w:val="00A86780"/>
    <w:rsid w:val="00A86B2F"/>
    <w:rsid w:val="00A86B9A"/>
    <w:rsid w:val="00A872E4"/>
    <w:rsid w:val="00A8744B"/>
    <w:rsid w:val="00A877AD"/>
    <w:rsid w:val="00A877CC"/>
    <w:rsid w:val="00A87B07"/>
    <w:rsid w:val="00A90077"/>
    <w:rsid w:val="00A9062C"/>
    <w:rsid w:val="00A90BC0"/>
    <w:rsid w:val="00A91941"/>
    <w:rsid w:val="00A91A55"/>
    <w:rsid w:val="00A91C0C"/>
    <w:rsid w:val="00A91DC4"/>
    <w:rsid w:val="00A9217C"/>
    <w:rsid w:val="00A92AB8"/>
    <w:rsid w:val="00A93215"/>
    <w:rsid w:val="00A932F2"/>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BCE"/>
    <w:rsid w:val="00AA0E4F"/>
    <w:rsid w:val="00AA19D0"/>
    <w:rsid w:val="00AA1AF7"/>
    <w:rsid w:val="00AA20D6"/>
    <w:rsid w:val="00AA238E"/>
    <w:rsid w:val="00AA347A"/>
    <w:rsid w:val="00AA3947"/>
    <w:rsid w:val="00AA3BBC"/>
    <w:rsid w:val="00AA3BD4"/>
    <w:rsid w:val="00AA4604"/>
    <w:rsid w:val="00AA4960"/>
    <w:rsid w:val="00AA4D19"/>
    <w:rsid w:val="00AA4FC9"/>
    <w:rsid w:val="00AA54B6"/>
    <w:rsid w:val="00AA6941"/>
    <w:rsid w:val="00AA6C71"/>
    <w:rsid w:val="00AA7114"/>
    <w:rsid w:val="00AA7343"/>
    <w:rsid w:val="00AA73CC"/>
    <w:rsid w:val="00AA74E6"/>
    <w:rsid w:val="00AA774D"/>
    <w:rsid w:val="00AA7EFA"/>
    <w:rsid w:val="00AB085C"/>
    <w:rsid w:val="00AB0AB8"/>
    <w:rsid w:val="00AB0C11"/>
    <w:rsid w:val="00AB0FCC"/>
    <w:rsid w:val="00AB14E1"/>
    <w:rsid w:val="00AB180E"/>
    <w:rsid w:val="00AB185C"/>
    <w:rsid w:val="00AB21A2"/>
    <w:rsid w:val="00AB2229"/>
    <w:rsid w:val="00AB223A"/>
    <w:rsid w:val="00AB23C6"/>
    <w:rsid w:val="00AB2869"/>
    <w:rsid w:val="00AB2CC2"/>
    <w:rsid w:val="00AB2F5E"/>
    <w:rsid w:val="00AB30D5"/>
    <w:rsid w:val="00AB3CEF"/>
    <w:rsid w:val="00AB3D22"/>
    <w:rsid w:val="00AB40EE"/>
    <w:rsid w:val="00AB4250"/>
    <w:rsid w:val="00AB4677"/>
    <w:rsid w:val="00AB46E0"/>
    <w:rsid w:val="00AB4865"/>
    <w:rsid w:val="00AB4C44"/>
    <w:rsid w:val="00AB557A"/>
    <w:rsid w:val="00AB5A65"/>
    <w:rsid w:val="00AB5D66"/>
    <w:rsid w:val="00AB60FF"/>
    <w:rsid w:val="00AB6449"/>
    <w:rsid w:val="00AB657F"/>
    <w:rsid w:val="00AB707B"/>
    <w:rsid w:val="00AB7278"/>
    <w:rsid w:val="00AB72AC"/>
    <w:rsid w:val="00AB72EF"/>
    <w:rsid w:val="00AB7589"/>
    <w:rsid w:val="00AC0119"/>
    <w:rsid w:val="00AC033F"/>
    <w:rsid w:val="00AC0750"/>
    <w:rsid w:val="00AC0D3A"/>
    <w:rsid w:val="00AC0E42"/>
    <w:rsid w:val="00AC1140"/>
    <w:rsid w:val="00AC151C"/>
    <w:rsid w:val="00AC238C"/>
    <w:rsid w:val="00AC27AD"/>
    <w:rsid w:val="00AC2F8E"/>
    <w:rsid w:val="00AC3C6A"/>
    <w:rsid w:val="00AC3EFE"/>
    <w:rsid w:val="00AC41B2"/>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F8"/>
    <w:rsid w:val="00AD0FC5"/>
    <w:rsid w:val="00AD1109"/>
    <w:rsid w:val="00AD1681"/>
    <w:rsid w:val="00AD206E"/>
    <w:rsid w:val="00AD240A"/>
    <w:rsid w:val="00AD2AAC"/>
    <w:rsid w:val="00AD2B53"/>
    <w:rsid w:val="00AD300B"/>
    <w:rsid w:val="00AD340B"/>
    <w:rsid w:val="00AD36F6"/>
    <w:rsid w:val="00AD39F5"/>
    <w:rsid w:val="00AD3A27"/>
    <w:rsid w:val="00AD42B7"/>
    <w:rsid w:val="00AD4A79"/>
    <w:rsid w:val="00AD4F04"/>
    <w:rsid w:val="00AD5176"/>
    <w:rsid w:val="00AD545D"/>
    <w:rsid w:val="00AD55E5"/>
    <w:rsid w:val="00AD5A35"/>
    <w:rsid w:val="00AD5F58"/>
    <w:rsid w:val="00AD663B"/>
    <w:rsid w:val="00AD6677"/>
    <w:rsid w:val="00AD6EFA"/>
    <w:rsid w:val="00AD6F44"/>
    <w:rsid w:val="00AD7253"/>
    <w:rsid w:val="00AD733A"/>
    <w:rsid w:val="00AD741B"/>
    <w:rsid w:val="00AE0042"/>
    <w:rsid w:val="00AE0274"/>
    <w:rsid w:val="00AE04BC"/>
    <w:rsid w:val="00AE0D7D"/>
    <w:rsid w:val="00AE1403"/>
    <w:rsid w:val="00AE148B"/>
    <w:rsid w:val="00AE1917"/>
    <w:rsid w:val="00AE1EBD"/>
    <w:rsid w:val="00AE2001"/>
    <w:rsid w:val="00AE21B4"/>
    <w:rsid w:val="00AE2272"/>
    <w:rsid w:val="00AE246C"/>
    <w:rsid w:val="00AE25C6"/>
    <w:rsid w:val="00AE3A77"/>
    <w:rsid w:val="00AE3AC0"/>
    <w:rsid w:val="00AE4342"/>
    <w:rsid w:val="00AE45D9"/>
    <w:rsid w:val="00AE465E"/>
    <w:rsid w:val="00AE49C1"/>
    <w:rsid w:val="00AE4B48"/>
    <w:rsid w:val="00AE4C0A"/>
    <w:rsid w:val="00AE4EA8"/>
    <w:rsid w:val="00AE51CB"/>
    <w:rsid w:val="00AE53E7"/>
    <w:rsid w:val="00AE543D"/>
    <w:rsid w:val="00AE56A1"/>
    <w:rsid w:val="00AE586B"/>
    <w:rsid w:val="00AE5CC7"/>
    <w:rsid w:val="00AE6994"/>
    <w:rsid w:val="00AE70BE"/>
    <w:rsid w:val="00AE7664"/>
    <w:rsid w:val="00AE7B8B"/>
    <w:rsid w:val="00AE7BA7"/>
    <w:rsid w:val="00AE7C61"/>
    <w:rsid w:val="00AE7D18"/>
    <w:rsid w:val="00AF042E"/>
    <w:rsid w:val="00AF0754"/>
    <w:rsid w:val="00AF08F9"/>
    <w:rsid w:val="00AF0DFB"/>
    <w:rsid w:val="00AF15B8"/>
    <w:rsid w:val="00AF16D1"/>
    <w:rsid w:val="00AF209F"/>
    <w:rsid w:val="00AF2205"/>
    <w:rsid w:val="00AF23A1"/>
    <w:rsid w:val="00AF2A6D"/>
    <w:rsid w:val="00AF2B0C"/>
    <w:rsid w:val="00AF33F6"/>
    <w:rsid w:val="00AF34A6"/>
    <w:rsid w:val="00AF3FA4"/>
    <w:rsid w:val="00AF4050"/>
    <w:rsid w:val="00AF405D"/>
    <w:rsid w:val="00AF44A9"/>
    <w:rsid w:val="00AF4CEF"/>
    <w:rsid w:val="00AF50D0"/>
    <w:rsid w:val="00AF575F"/>
    <w:rsid w:val="00AF5CAF"/>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D65"/>
    <w:rsid w:val="00B04367"/>
    <w:rsid w:val="00B043D0"/>
    <w:rsid w:val="00B0480C"/>
    <w:rsid w:val="00B05EB5"/>
    <w:rsid w:val="00B06737"/>
    <w:rsid w:val="00B069FC"/>
    <w:rsid w:val="00B06B1C"/>
    <w:rsid w:val="00B06DFC"/>
    <w:rsid w:val="00B07356"/>
    <w:rsid w:val="00B113DD"/>
    <w:rsid w:val="00B11A1A"/>
    <w:rsid w:val="00B12315"/>
    <w:rsid w:val="00B12496"/>
    <w:rsid w:val="00B1252E"/>
    <w:rsid w:val="00B12565"/>
    <w:rsid w:val="00B13315"/>
    <w:rsid w:val="00B13CEE"/>
    <w:rsid w:val="00B14C1A"/>
    <w:rsid w:val="00B14EA3"/>
    <w:rsid w:val="00B14FDF"/>
    <w:rsid w:val="00B15097"/>
    <w:rsid w:val="00B1521D"/>
    <w:rsid w:val="00B15672"/>
    <w:rsid w:val="00B15B29"/>
    <w:rsid w:val="00B15B80"/>
    <w:rsid w:val="00B16993"/>
    <w:rsid w:val="00B17451"/>
    <w:rsid w:val="00B17543"/>
    <w:rsid w:val="00B17D65"/>
    <w:rsid w:val="00B20400"/>
    <w:rsid w:val="00B212C9"/>
    <w:rsid w:val="00B2147B"/>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660"/>
    <w:rsid w:val="00B259C8"/>
    <w:rsid w:val="00B25AB0"/>
    <w:rsid w:val="00B26183"/>
    <w:rsid w:val="00B267D9"/>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401A"/>
    <w:rsid w:val="00B3409D"/>
    <w:rsid w:val="00B34720"/>
    <w:rsid w:val="00B34B0B"/>
    <w:rsid w:val="00B35590"/>
    <w:rsid w:val="00B35A9B"/>
    <w:rsid w:val="00B35BCD"/>
    <w:rsid w:val="00B360E6"/>
    <w:rsid w:val="00B366BB"/>
    <w:rsid w:val="00B36CFB"/>
    <w:rsid w:val="00B3705D"/>
    <w:rsid w:val="00B37336"/>
    <w:rsid w:val="00B377BB"/>
    <w:rsid w:val="00B402F0"/>
    <w:rsid w:val="00B405A6"/>
    <w:rsid w:val="00B4062D"/>
    <w:rsid w:val="00B40671"/>
    <w:rsid w:val="00B407D3"/>
    <w:rsid w:val="00B407F8"/>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1E68"/>
    <w:rsid w:val="00B52CFB"/>
    <w:rsid w:val="00B52EA0"/>
    <w:rsid w:val="00B5393D"/>
    <w:rsid w:val="00B539A2"/>
    <w:rsid w:val="00B539D3"/>
    <w:rsid w:val="00B53B29"/>
    <w:rsid w:val="00B53D45"/>
    <w:rsid w:val="00B544FF"/>
    <w:rsid w:val="00B548BE"/>
    <w:rsid w:val="00B54D16"/>
    <w:rsid w:val="00B54FF8"/>
    <w:rsid w:val="00B55913"/>
    <w:rsid w:val="00B5596B"/>
    <w:rsid w:val="00B55E70"/>
    <w:rsid w:val="00B55E7F"/>
    <w:rsid w:val="00B563A7"/>
    <w:rsid w:val="00B565CF"/>
    <w:rsid w:val="00B57477"/>
    <w:rsid w:val="00B574C7"/>
    <w:rsid w:val="00B57DCA"/>
    <w:rsid w:val="00B6000A"/>
    <w:rsid w:val="00B60118"/>
    <w:rsid w:val="00B61864"/>
    <w:rsid w:val="00B61DE8"/>
    <w:rsid w:val="00B61F86"/>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939"/>
    <w:rsid w:val="00B6595D"/>
    <w:rsid w:val="00B65C44"/>
    <w:rsid w:val="00B65CCE"/>
    <w:rsid w:val="00B65E98"/>
    <w:rsid w:val="00B662C9"/>
    <w:rsid w:val="00B667E9"/>
    <w:rsid w:val="00B667F5"/>
    <w:rsid w:val="00B66C42"/>
    <w:rsid w:val="00B6722C"/>
    <w:rsid w:val="00B67293"/>
    <w:rsid w:val="00B67429"/>
    <w:rsid w:val="00B674B2"/>
    <w:rsid w:val="00B67A75"/>
    <w:rsid w:val="00B67CD3"/>
    <w:rsid w:val="00B700D1"/>
    <w:rsid w:val="00B705A0"/>
    <w:rsid w:val="00B70610"/>
    <w:rsid w:val="00B70C23"/>
    <w:rsid w:val="00B70E24"/>
    <w:rsid w:val="00B719B9"/>
    <w:rsid w:val="00B71A70"/>
    <w:rsid w:val="00B71D92"/>
    <w:rsid w:val="00B72202"/>
    <w:rsid w:val="00B731F0"/>
    <w:rsid w:val="00B73629"/>
    <w:rsid w:val="00B73693"/>
    <w:rsid w:val="00B736B5"/>
    <w:rsid w:val="00B739A8"/>
    <w:rsid w:val="00B73F2B"/>
    <w:rsid w:val="00B7547D"/>
    <w:rsid w:val="00B755E5"/>
    <w:rsid w:val="00B7595E"/>
    <w:rsid w:val="00B75A21"/>
    <w:rsid w:val="00B75E01"/>
    <w:rsid w:val="00B762C0"/>
    <w:rsid w:val="00B76977"/>
    <w:rsid w:val="00B76E45"/>
    <w:rsid w:val="00B7718E"/>
    <w:rsid w:val="00B77309"/>
    <w:rsid w:val="00B77D80"/>
    <w:rsid w:val="00B80953"/>
    <w:rsid w:val="00B80AAC"/>
    <w:rsid w:val="00B80B0A"/>
    <w:rsid w:val="00B80C40"/>
    <w:rsid w:val="00B80E17"/>
    <w:rsid w:val="00B810B4"/>
    <w:rsid w:val="00B81292"/>
    <w:rsid w:val="00B815C2"/>
    <w:rsid w:val="00B81A7D"/>
    <w:rsid w:val="00B81B31"/>
    <w:rsid w:val="00B81BE0"/>
    <w:rsid w:val="00B81F1C"/>
    <w:rsid w:val="00B8233A"/>
    <w:rsid w:val="00B8294F"/>
    <w:rsid w:val="00B8365A"/>
    <w:rsid w:val="00B8369D"/>
    <w:rsid w:val="00B838C6"/>
    <w:rsid w:val="00B83B4E"/>
    <w:rsid w:val="00B840D4"/>
    <w:rsid w:val="00B843B5"/>
    <w:rsid w:val="00B84A8E"/>
    <w:rsid w:val="00B84BD5"/>
    <w:rsid w:val="00B84C02"/>
    <w:rsid w:val="00B85466"/>
    <w:rsid w:val="00B8582F"/>
    <w:rsid w:val="00B865D5"/>
    <w:rsid w:val="00B865F2"/>
    <w:rsid w:val="00B868B2"/>
    <w:rsid w:val="00B86A75"/>
    <w:rsid w:val="00B86C6B"/>
    <w:rsid w:val="00B87285"/>
    <w:rsid w:val="00B872ED"/>
    <w:rsid w:val="00B875BA"/>
    <w:rsid w:val="00B8794B"/>
    <w:rsid w:val="00B87ABC"/>
    <w:rsid w:val="00B87FBC"/>
    <w:rsid w:val="00B90D19"/>
    <w:rsid w:val="00B912E2"/>
    <w:rsid w:val="00B92171"/>
    <w:rsid w:val="00B92B6E"/>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730"/>
    <w:rsid w:val="00B97FB7"/>
    <w:rsid w:val="00BA03AB"/>
    <w:rsid w:val="00BA0C29"/>
    <w:rsid w:val="00BA10EB"/>
    <w:rsid w:val="00BA11E6"/>
    <w:rsid w:val="00BA1375"/>
    <w:rsid w:val="00BA16E0"/>
    <w:rsid w:val="00BA297B"/>
    <w:rsid w:val="00BA3A00"/>
    <w:rsid w:val="00BA4C05"/>
    <w:rsid w:val="00BA4C82"/>
    <w:rsid w:val="00BA50B6"/>
    <w:rsid w:val="00BA5768"/>
    <w:rsid w:val="00BA5B60"/>
    <w:rsid w:val="00BA5BA1"/>
    <w:rsid w:val="00BA5CED"/>
    <w:rsid w:val="00BA5D40"/>
    <w:rsid w:val="00BA602B"/>
    <w:rsid w:val="00BA66E8"/>
    <w:rsid w:val="00BA7143"/>
    <w:rsid w:val="00BA74E8"/>
    <w:rsid w:val="00BA7FC8"/>
    <w:rsid w:val="00BB0269"/>
    <w:rsid w:val="00BB03B0"/>
    <w:rsid w:val="00BB0836"/>
    <w:rsid w:val="00BB13DA"/>
    <w:rsid w:val="00BB15B7"/>
    <w:rsid w:val="00BB1994"/>
    <w:rsid w:val="00BB19D7"/>
    <w:rsid w:val="00BB1AEF"/>
    <w:rsid w:val="00BB1DDD"/>
    <w:rsid w:val="00BB21F2"/>
    <w:rsid w:val="00BB25B5"/>
    <w:rsid w:val="00BB2ED8"/>
    <w:rsid w:val="00BB301D"/>
    <w:rsid w:val="00BB318D"/>
    <w:rsid w:val="00BB3468"/>
    <w:rsid w:val="00BB3490"/>
    <w:rsid w:val="00BB35EC"/>
    <w:rsid w:val="00BB381A"/>
    <w:rsid w:val="00BB3B54"/>
    <w:rsid w:val="00BB3D7A"/>
    <w:rsid w:val="00BB3E7C"/>
    <w:rsid w:val="00BB43EE"/>
    <w:rsid w:val="00BB45A9"/>
    <w:rsid w:val="00BB4873"/>
    <w:rsid w:val="00BB512A"/>
    <w:rsid w:val="00BB5736"/>
    <w:rsid w:val="00BB5A14"/>
    <w:rsid w:val="00BB5C88"/>
    <w:rsid w:val="00BB60AE"/>
    <w:rsid w:val="00BB62D8"/>
    <w:rsid w:val="00BB6592"/>
    <w:rsid w:val="00BB6E82"/>
    <w:rsid w:val="00BB7070"/>
    <w:rsid w:val="00BB70DB"/>
    <w:rsid w:val="00BB72DF"/>
    <w:rsid w:val="00BC0478"/>
    <w:rsid w:val="00BC05BC"/>
    <w:rsid w:val="00BC0628"/>
    <w:rsid w:val="00BC0A1E"/>
    <w:rsid w:val="00BC0B8F"/>
    <w:rsid w:val="00BC13AE"/>
    <w:rsid w:val="00BC1502"/>
    <w:rsid w:val="00BC1786"/>
    <w:rsid w:val="00BC1D8A"/>
    <w:rsid w:val="00BC1F91"/>
    <w:rsid w:val="00BC2F7A"/>
    <w:rsid w:val="00BC35AF"/>
    <w:rsid w:val="00BC3989"/>
    <w:rsid w:val="00BC3A2F"/>
    <w:rsid w:val="00BC3E20"/>
    <w:rsid w:val="00BC5079"/>
    <w:rsid w:val="00BC5265"/>
    <w:rsid w:val="00BC53FF"/>
    <w:rsid w:val="00BC55CD"/>
    <w:rsid w:val="00BC57F9"/>
    <w:rsid w:val="00BC5DBB"/>
    <w:rsid w:val="00BC5FAB"/>
    <w:rsid w:val="00BC61D5"/>
    <w:rsid w:val="00BC62B8"/>
    <w:rsid w:val="00BC633D"/>
    <w:rsid w:val="00BC67BD"/>
    <w:rsid w:val="00BC73AE"/>
    <w:rsid w:val="00BC742F"/>
    <w:rsid w:val="00BC771A"/>
    <w:rsid w:val="00BC77E1"/>
    <w:rsid w:val="00BC7C8A"/>
    <w:rsid w:val="00BC7D6C"/>
    <w:rsid w:val="00BD0132"/>
    <w:rsid w:val="00BD0467"/>
    <w:rsid w:val="00BD0C9A"/>
    <w:rsid w:val="00BD0D89"/>
    <w:rsid w:val="00BD0D8A"/>
    <w:rsid w:val="00BD0DCB"/>
    <w:rsid w:val="00BD1B0C"/>
    <w:rsid w:val="00BD1B23"/>
    <w:rsid w:val="00BD2253"/>
    <w:rsid w:val="00BD260E"/>
    <w:rsid w:val="00BD26F2"/>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7578"/>
    <w:rsid w:val="00BD7659"/>
    <w:rsid w:val="00BD77CE"/>
    <w:rsid w:val="00BD7B7D"/>
    <w:rsid w:val="00BD7BF0"/>
    <w:rsid w:val="00BD7CE1"/>
    <w:rsid w:val="00BD7E19"/>
    <w:rsid w:val="00BD7E96"/>
    <w:rsid w:val="00BE1295"/>
    <w:rsid w:val="00BE14D7"/>
    <w:rsid w:val="00BE1E32"/>
    <w:rsid w:val="00BE1F40"/>
    <w:rsid w:val="00BE1F76"/>
    <w:rsid w:val="00BE2494"/>
    <w:rsid w:val="00BE2770"/>
    <w:rsid w:val="00BE28CA"/>
    <w:rsid w:val="00BE2CEF"/>
    <w:rsid w:val="00BE3612"/>
    <w:rsid w:val="00BE38BD"/>
    <w:rsid w:val="00BE3A97"/>
    <w:rsid w:val="00BE3B0F"/>
    <w:rsid w:val="00BE3BB1"/>
    <w:rsid w:val="00BE3F72"/>
    <w:rsid w:val="00BE4389"/>
    <w:rsid w:val="00BE45D1"/>
    <w:rsid w:val="00BE4817"/>
    <w:rsid w:val="00BE4CDF"/>
    <w:rsid w:val="00BE4D13"/>
    <w:rsid w:val="00BE53A4"/>
    <w:rsid w:val="00BE54CA"/>
    <w:rsid w:val="00BE59B4"/>
    <w:rsid w:val="00BE5D4C"/>
    <w:rsid w:val="00BE6124"/>
    <w:rsid w:val="00BE64E6"/>
    <w:rsid w:val="00BE68FA"/>
    <w:rsid w:val="00BE696E"/>
    <w:rsid w:val="00BE69F5"/>
    <w:rsid w:val="00BE6BA3"/>
    <w:rsid w:val="00BF12B9"/>
    <w:rsid w:val="00BF16CC"/>
    <w:rsid w:val="00BF1ED8"/>
    <w:rsid w:val="00BF1FCE"/>
    <w:rsid w:val="00BF2064"/>
    <w:rsid w:val="00BF272D"/>
    <w:rsid w:val="00BF294B"/>
    <w:rsid w:val="00BF2B41"/>
    <w:rsid w:val="00BF2D38"/>
    <w:rsid w:val="00BF2DF0"/>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B41"/>
    <w:rsid w:val="00BF7B4F"/>
    <w:rsid w:val="00C001CA"/>
    <w:rsid w:val="00C00243"/>
    <w:rsid w:val="00C007E0"/>
    <w:rsid w:val="00C00895"/>
    <w:rsid w:val="00C0089E"/>
    <w:rsid w:val="00C011EC"/>
    <w:rsid w:val="00C012A1"/>
    <w:rsid w:val="00C012D1"/>
    <w:rsid w:val="00C01412"/>
    <w:rsid w:val="00C01E89"/>
    <w:rsid w:val="00C01EC8"/>
    <w:rsid w:val="00C02174"/>
    <w:rsid w:val="00C02269"/>
    <w:rsid w:val="00C029D5"/>
    <w:rsid w:val="00C029FB"/>
    <w:rsid w:val="00C02C72"/>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F4"/>
    <w:rsid w:val="00C079F7"/>
    <w:rsid w:val="00C10837"/>
    <w:rsid w:val="00C10C50"/>
    <w:rsid w:val="00C11254"/>
    <w:rsid w:val="00C117A3"/>
    <w:rsid w:val="00C117AE"/>
    <w:rsid w:val="00C117BE"/>
    <w:rsid w:val="00C11E55"/>
    <w:rsid w:val="00C12068"/>
    <w:rsid w:val="00C121EF"/>
    <w:rsid w:val="00C12348"/>
    <w:rsid w:val="00C126B6"/>
    <w:rsid w:val="00C12734"/>
    <w:rsid w:val="00C12927"/>
    <w:rsid w:val="00C12949"/>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596"/>
    <w:rsid w:val="00C204CF"/>
    <w:rsid w:val="00C20B7F"/>
    <w:rsid w:val="00C20B9D"/>
    <w:rsid w:val="00C2105A"/>
    <w:rsid w:val="00C21185"/>
    <w:rsid w:val="00C21473"/>
    <w:rsid w:val="00C214D0"/>
    <w:rsid w:val="00C214E4"/>
    <w:rsid w:val="00C21E05"/>
    <w:rsid w:val="00C21FC5"/>
    <w:rsid w:val="00C2201A"/>
    <w:rsid w:val="00C22122"/>
    <w:rsid w:val="00C223BA"/>
    <w:rsid w:val="00C22D21"/>
    <w:rsid w:val="00C22E03"/>
    <w:rsid w:val="00C23222"/>
    <w:rsid w:val="00C23D7F"/>
    <w:rsid w:val="00C243B7"/>
    <w:rsid w:val="00C244C9"/>
    <w:rsid w:val="00C2451C"/>
    <w:rsid w:val="00C24667"/>
    <w:rsid w:val="00C24DEA"/>
    <w:rsid w:val="00C24FC3"/>
    <w:rsid w:val="00C25517"/>
    <w:rsid w:val="00C259D5"/>
    <w:rsid w:val="00C26576"/>
    <w:rsid w:val="00C2751B"/>
    <w:rsid w:val="00C275BE"/>
    <w:rsid w:val="00C27766"/>
    <w:rsid w:val="00C27D7B"/>
    <w:rsid w:val="00C3004C"/>
    <w:rsid w:val="00C30246"/>
    <w:rsid w:val="00C30734"/>
    <w:rsid w:val="00C30849"/>
    <w:rsid w:val="00C30AB9"/>
    <w:rsid w:val="00C30EA9"/>
    <w:rsid w:val="00C31C91"/>
    <w:rsid w:val="00C31CA2"/>
    <w:rsid w:val="00C329C7"/>
    <w:rsid w:val="00C33319"/>
    <w:rsid w:val="00C3370B"/>
    <w:rsid w:val="00C3384E"/>
    <w:rsid w:val="00C346E4"/>
    <w:rsid w:val="00C34E7E"/>
    <w:rsid w:val="00C34FAB"/>
    <w:rsid w:val="00C350BC"/>
    <w:rsid w:val="00C3536C"/>
    <w:rsid w:val="00C35693"/>
    <w:rsid w:val="00C35C3F"/>
    <w:rsid w:val="00C36054"/>
    <w:rsid w:val="00C36442"/>
    <w:rsid w:val="00C366CB"/>
    <w:rsid w:val="00C367A9"/>
    <w:rsid w:val="00C36852"/>
    <w:rsid w:val="00C37A12"/>
    <w:rsid w:val="00C40396"/>
    <w:rsid w:val="00C404C0"/>
    <w:rsid w:val="00C40682"/>
    <w:rsid w:val="00C410BC"/>
    <w:rsid w:val="00C415D1"/>
    <w:rsid w:val="00C4192A"/>
    <w:rsid w:val="00C41C1F"/>
    <w:rsid w:val="00C421E8"/>
    <w:rsid w:val="00C422E1"/>
    <w:rsid w:val="00C4252E"/>
    <w:rsid w:val="00C42733"/>
    <w:rsid w:val="00C42E6A"/>
    <w:rsid w:val="00C435AB"/>
    <w:rsid w:val="00C43BAB"/>
    <w:rsid w:val="00C44B7B"/>
    <w:rsid w:val="00C457C9"/>
    <w:rsid w:val="00C467D4"/>
    <w:rsid w:val="00C46CC2"/>
    <w:rsid w:val="00C47167"/>
    <w:rsid w:val="00C476B3"/>
    <w:rsid w:val="00C47832"/>
    <w:rsid w:val="00C502C8"/>
    <w:rsid w:val="00C503C3"/>
    <w:rsid w:val="00C50D73"/>
    <w:rsid w:val="00C50F75"/>
    <w:rsid w:val="00C514D3"/>
    <w:rsid w:val="00C51EE3"/>
    <w:rsid w:val="00C520E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479"/>
    <w:rsid w:val="00C60D73"/>
    <w:rsid w:val="00C61071"/>
    <w:rsid w:val="00C61901"/>
    <w:rsid w:val="00C619C4"/>
    <w:rsid w:val="00C61A4C"/>
    <w:rsid w:val="00C61A66"/>
    <w:rsid w:val="00C61D3D"/>
    <w:rsid w:val="00C6200C"/>
    <w:rsid w:val="00C621F9"/>
    <w:rsid w:val="00C62A19"/>
    <w:rsid w:val="00C62BF3"/>
    <w:rsid w:val="00C633AA"/>
    <w:rsid w:val="00C6348C"/>
    <w:rsid w:val="00C634F4"/>
    <w:rsid w:val="00C63607"/>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0019"/>
    <w:rsid w:val="00C713E7"/>
    <w:rsid w:val="00C71631"/>
    <w:rsid w:val="00C716E6"/>
    <w:rsid w:val="00C71906"/>
    <w:rsid w:val="00C71A03"/>
    <w:rsid w:val="00C720CC"/>
    <w:rsid w:val="00C7235B"/>
    <w:rsid w:val="00C724E8"/>
    <w:rsid w:val="00C72658"/>
    <w:rsid w:val="00C7301F"/>
    <w:rsid w:val="00C73F99"/>
    <w:rsid w:val="00C74E10"/>
    <w:rsid w:val="00C74FD2"/>
    <w:rsid w:val="00C75487"/>
    <w:rsid w:val="00C757FD"/>
    <w:rsid w:val="00C75861"/>
    <w:rsid w:val="00C758B4"/>
    <w:rsid w:val="00C75A33"/>
    <w:rsid w:val="00C75FC0"/>
    <w:rsid w:val="00C773E7"/>
    <w:rsid w:val="00C77BB6"/>
    <w:rsid w:val="00C77CA7"/>
    <w:rsid w:val="00C77F58"/>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5C6"/>
    <w:rsid w:val="00C8585D"/>
    <w:rsid w:val="00C85EC0"/>
    <w:rsid w:val="00C8604E"/>
    <w:rsid w:val="00C86563"/>
    <w:rsid w:val="00C86893"/>
    <w:rsid w:val="00C86D96"/>
    <w:rsid w:val="00C86F11"/>
    <w:rsid w:val="00C87B9D"/>
    <w:rsid w:val="00C90955"/>
    <w:rsid w:val="00C913AC"/>
    <w:rsid w:val="00C918FD"/>
    <w:rsid w:val="00C91FEC"/>
    <w:rsid w:val="00C92255"/>
    <w:rsid w:val="00C922E5"/>
    <w:rsid w:val="00C92653"/>
    <w:rsid w:val="00C92EB2"/>
    <w:rsid w:val="00C93073"/>
    <w:rsid w:val="00C93290"/>
    <w:rsid w:val="00C93A2E"/>
    <w:rsid w:val="00C93FF0"/>
    <w:rsid w:val="00C94DB9"/>
    <w:rsid w:val="00C9522B"/>
    <w:rsid w:val="00C95405"/>
    <w:rsid w:val="00C95D64"/>
    <w:rsid w:val="00C96004"/>
    <w:rsid w:val="00C96284"/>
    <w:rsid w:val="00C96DFB"/>
    <w:rsid w:val="00C97426"/>
    <w:rsid w:val="00C97768"/>
    <w:rsid w:val="00CA01BA"/>
    <w:rsid w:val="00CA0C99"/>
    <w:rsid w:val="00CA0F79"/>
    <w:rsid w:val="00CA120F"/>
    <w:rsid w:val="00CA1620"/>
    <w:rsid w:val="00CA1C0E"/>
    <w:rsid w:val="00CA1DE3"/>
    <w:rsid w:val="00CA21D4"/>
    <w:rsid w:val="00CA2256"/>
    <w:rsid w:val="00CA2314"/>
    <w:rsid w:val="00CA28C8"/>
    <w:rsid w:val="00CA2922"/>
    <w:rsid w:val="00CA2AF3"/>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B2B"/>
    <w:rsid w:val="00CB0E4E"/>
    <w:rsid w:val="00CB0E69"/>
    <w:rsid w:val="00CB0F05"/>
    <w:rsid w:val="00CB1A3A"/>
    <w:rsid w:val="00CB1E89"/>
    <w:rsid w:val="00CB2EC0"/>
    <w:rsid w:val="00CB34B7"/>
    <w:rsid w:val="00CB40DB"/>
    <w:rsid w:val="00CB41FF"/>
    <w:rsid w:val="00CB42D0"/>
    <w:rsid w:val="00CB4485"/>
    <w:rsid w:val="00CB46A3"/>
    <w:rsid w:val="00CB53F6"/>
    <w:rsid w:val="00CB5994"/>
    <w:rsid w:val="00CB5A20"/>
    <w:rsid w:val="00CB64D9"/>
    <w:rsid w:val="00CB7F96"/>
    <w:rsid w:val="00CC02B1"/>
    <w:rsid w:val="00CC0663"/>
    <w:rsid w:val="00CC106E"/>
    <w:rsid w:val="00CC1655"/>
    <w:rsid w:val="00CC1E9E"/>
    <w:rsid w:val="00CC212F"/>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1052"/>
    <w:rsid w:val="00CD107C"/>
    <w:rsid w:val="00CD10D5"/>
    <w:rsid w:val="00CD2096"/>
    <w:rsid w:val="00CD2188"/>
    <w:rsid w:val="00CD23E3"/>
    <w:rsid w:val="00CD25DE"/>
    <w:rsid w:val="00CD29BB"/>
    <w:rsid w:val="00CD2A89"/>
    <w:rsid w:val="00CD3678"/>
    <w:rsid w:val="00CD3848"/>
    <w:rsid w:val="00CD38C9"/>
    <w:rsid w:val="00CD39A5"/>
    <w:rsid w:val="00CD3F6C"/>
    <w:rsid w:val="00CD4447"/>
    <w:rsid w:val="00CD4819"/>
    <w:rsid w:val="00CD51C5"/>
    <w:rsid w:val="00CD5571"/>
    <w:rsid w:val="00CD5B5D"/>
    <w:rsid w:val="00CD5E55"/>
    <w:rsid w:val="00CD6189"/>
    <w:rsid w:val="00CD6543"/>
    <w:rsid w:val="00CD67A9"/>
    <w:rsid w:val="00CD6B47"/>
    <w:rsid w:val="00CD6BA4"/>
    <w:rsid w:val="00CD71C9"/>
    <w:rsid w:val="00CD79DB"/>
    <w:rsid w:val="00CD7B85"/>
    <w:rsid w:val="00CE02A7"/>
    <w:rsid w:val="00CE05F2"/>
    <w:rsid w:val="00CE0928"/>
    <w:rsid w:val="00CE0D51"/>
    <w:rsid w:val="00CE0F85"/>
    <w:rsid w:val="00CE1918"/>
    <w:rsid w:val="00CE1B94"/>
    <w:rsid w:val="00CE1BA7"/>
    <w:rsid w:val="00CE1E74"/>
    <w:rsid w:val="00CE21FE"/>
    <w:rsid w:val="00CE229B"/>
    <w:rsid w:val="00CE2539"/>
    <w:rsid w:val="00CE2E71"/>
    <w:rsid w:val="00CE30DA"/>
    <w:rsid w:val="00CE34DC"/>
    <w:rsid w:val="00CE430A"/>
    <w:rsid w:val="00CE44DA"/>
    <w:rsid w:val="00CE4D0E"/>
    <w:rsid w:val="00CE5258"/>
    <w:rsid w:val="00CE538E"/>
    <w:rsid w:val="00CE5D29"/>
    <w:rsid w:val="00CE5F66"/>
    <w:rsid w:val="00CE628A"/>
    <w:rsid w:val="00CE6504"/>
    <w:rsid w:val="00CE6614"/>
    <w:rsid w:val="00CE6ABF"/>
    <w:rsid w:val="00CE6C99"/>
    <w:rsid w:val="00CE6D1E"/>
    <w:rsid w:val="00CE6E3C"/>
    <w:rsid w:val="00CE7308"/>
    <w:rsid w:val="00CE7A51"/>
    <w:rsid w:val="00CE7F60"/>
    <w:rsid w:val="00CF046B"/>
    <w:rsid w:val="00CF07E0"/>
    <w:rsid w:val="00CF0A44"/>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138"/>
    <w:rsid w:val="00CF42ED"/>
    <w:rsid w:val="00CF4871"/>
    <w:rsid w:val="00CF4946"/>
    <w:rsid w:val="00CF4AB5"/>
    <w:rsid w:val="00CF5302"/>
    <w:rsid w:val="00CF53B9"/>
    <w:rsid w:val="00CF5557"/>
    <w:rsid w:val="00CF583F"/>
    <w:rsid w:val="00CF6140"/>
    <w:rsid w:val="00CF61A8"/>
    <w:rsid w:val="00CF6596"/>
    <w:rsid w:val="00CF6782"/>
    <w:rsid w:val="00CF67BC"/>
    <w:rsid w:val="00CF6BAB"/>
    <w:rsid w:val="00CF6CCB"/>
    <w:rsid w:val="00CF70A9"/>
    <w:rsid w:val="00CF7452"/>
    <w:rsid w:val="00CF76CF"/>
    <w:rsid w:val="00CF7D4C"/>
    <w:rsid w:val="00D00B91"/>
    <w:rsid w:val="00D0138A"/>
    <w:rsid w:val="00D01710"/>
    <w:rsid w:val="00D019C1"/>
    <w:rsid w:val="00D02017"/>
    <w:rsid w:val="00D02822"/>
    <w:rsid w:val="00D02EE5"/>
    <w:rsid w:val="00D02F36"/>
    <w:rsid w:val="00D03027"/>
    <w:rsid w:val="00D030BB"/>
    <w:rsid w:val="00D034DA"/>
    <w:rsid w:val="00D0372E"/>
    <w:rsid w:val="00D03C49"/>
    <w:rsid w:val="00D03E95"/>
    <w:rsid w:val="00D0496A"/>
    <w:rsid w:val="00D0517F"/>
    <w:rsid w:val="00D05209"/>
    <w:rsid w:val="00D0545F"/>
    <w:rsid w:val="00D05548"/>
    <w:rsid w:val="00D05DE5"/>
    <w:rsid w:val="00D05DFF"/>
    <w:rsid w:val="00D05E82"/>
    <w:rsid w:val="00D05FB0"/>
    <w:rsid w:val="00D06356"/>
    <w:rsid w:val="00D06CC9"/>
    <w:rsid w:val="00D06EC0"/>
    <w:rsid w:val="00D0740D"/>
    <w:rsid w:val="00D074A2"/>
    <w:rsid w:val="00D07520"/>
    <w:rsid w:val="00D07A39"/>
    <w:rsid w:val="00D07B88"/>
    <w:rsid w:val="00D100FA"/>
    <w:rsid w:val="00D10196"/>
    <w:rsid w:val="00D10473"/>
    <w:rsid w:val="00D11A89"/>
    <w:rsid w:val="00D11A99"/>
    <w:rsid w:val="00D12318"/>
    <w:rsid w:val="00D12925"/>
    <w:rsid w:val="00D1295E"/>
    <w:rsid w:val="00D12B40"/>
    <w:rsid w:val="00D12BAE"/>
    <w:rsid w:val="00D12F51"/>
    <w:rsid w:val="00D130A5"/>
    <w:rsid w:val="00D13155"/>
    <w:rsid w:val="00D13350"/>
    <w:rsid w:val="00D133F9"/>
    <w:rsid w:val="00D13412"/>
    <w:rsid w:val="00D13858"/>
    <w:rsid w:val="00D13A73"/>
    <w:rsid w:val="00D13C00"/>
    <w:rsid w:val="00D13D05"/>
    <w:rsid w:val="00D13D38"/>
    <w:rsid w:val="00D14518"/>
    <w:rsid w:val="00D14735"/>
    <w:rsid w:val="00D1478F"/>
    <w:rsid w:val="00D147AC"/>
    <w:rsid w:val="00D147E7"/>
    <w:rsid w:val="00D14918"/>
    <w:rsid w:val="00D14BE6"/>
    <w:rsid w:val="00D1506A"/>
    <w:rsid w:val="00D151F7"/>
    <w:rsid w:val="00D16644"/>
    <w:rsid w:val="00D16BDC"/>
    <w:rsid w:val="00D16C53"/>
    <w:rsid w:val="00D16EB8"/>
    <w:rsid w:val="00D17295"/>
    <w:rsid w:val="00D178E0"/>
    <w:rsid w:val="00D17ABE"/>
    <w:rsid w:val="00D20230"/>
    <w:rsid w:val="00D2091B"/>
    <w:rsid w:val="00D20BC4"/>
    <w:rsid w:val="00D20CF1"/>
    <w:rsid w:val="00D2112A"/>
    <w:rsid w:val="00D2130B"/>
    <w:rsid w:val="00D21FB1"/>
    <w:rsid w:val="00D222F9"/>
    <w:rsid w:val="00D224ED"/>
    <w:rsid w:val="00D225D9"/>
    <w:rsid w:val="00D2260D"/>
    <w:rsid w:val="00D22679"/>
    <w:rsid w:val="00D226A0"/>
    <w:rsid w:val="00D22831"/>
    <w:rsid w:val="00D22875"/>
    <w:rsid w:val="00D228CF"/>
    <w:rsid w:val="00D229DE"/>
    <w:rsid w:val="00D22C10"/>
    <w:rsid w:val="00D23866"/>
    <w:rsid w:val="00D2441A"/>
    <w:rsid w:val="00D2461B"/>
    <w:rsid w:val="00D246E7"/>
    <w:rsid w:val="00D24E5F"/>
    <w:rsid w:val="00D24E68"/>
    <w:rsid w:val="00D24E8F"/>
    <w:rsid w:val="00D2540B"/>
    <w:rsid w:val="00D26143"/>
    <w:rsid w:val="00D2674D"/>
    <w:rsid w:val="00D270E3"/>
    <w:rsid w:val="00D271E5"/>
    <w:rsid w:val="00D27AE5"/>
    <w:rsid w:val="00D27D99"/>
    <w:rsid w:val="00D27E15"/>
    <w:rsid w:val="00D30F01"/>
    <w:rsid w:val="00D313A0"/>
    <w:rsid w:val="00D31FA1"/>
    <w:rsid w:val="00D323D6"/>
    <w:rsid w:val="00D32CD0"/>
    <w:rsid w:val="00D333C9"/>
    <w:rsid w:val="00D3344B"/>
    <w:rsid w:val="00D3367D"/>
    <w:rsid w:val="00D33963"/>
    <w:rsid w:val="00D33B69"/>
    <w:rsid w:val="00D34107"/>
    <w:rsid w:val="00D3473C"/>
    <w:rsid w:val="00D34952"/>
    <w:rsid w:val="00D34FD4"/>
    <w:rsid w:val="00D35661"/>
    <w:rsid w:val="00D35E51"/>
    <w:rsid w:val="00D36CB4"/>
    <w:rsid w:val="00D36D42"/>
    <w:rsid w:val="00D374F5"/>
    <w:rsid w:val="00D37602"/>
    <w:rsid w:val="00D3762C"/>
    <w:rsid w:val="00D37E73"/>
    <w:rsid w:val="00D40065"/>
    <w:rsid w:val="00D40762"/>
    <w:rsid w:val="00D40D10"/>
    <w:rsid w:val="00D40E4B"/>
    <w:rsid w:val="00D41048"/>
    <w:rsid w:val="00D411FE"/>
    <w:rsid w:val="00D41995"/>
    <w:rsid w:val="00D41BE4"/>
    <w:rsid w:val="00D41CB0"/>
    <w:rsid w:val="00D422FF"/>
    <w:rsid w:val="00D425D4"/>
    <w:rsid w:val="00D42D6A"/>
    <w:rsid w:val="00D430CE"/>
    <w:rsid w:val="00D431E1"/>
    <w:rsid w:val="00D4320E"/>
    <w:rsid w:val="00D436D3"/>
    <w:rsid w:val="00D438E1"/>
    <w:rsid w:val="00D439E1"/>
    <w:rsid w:val="00D43C2E"/>
    <w:rsid w:val="00D4423E"/>
    <w:rsid w:val="00D4481A"/>
    <w:rsid w:val="00D44C44"/>
    <w:rsid w:val="00D44FC2"/>
    <w:rsid w:val="00D45547"/>
    <w:rsid w:val="00D45BD9"/>
    <w:rsid w:val="00D45C47"/>
    <w:rsid w:val="00D460A8"/>
    <w:rsid w:val="00D46412"/>
    <w:rsid w:val="00D46BE2"/>
    <w:rsid w:val="00D470E8"/>
    <w:rsid w:val="00D47275"/>
    <w:rsid w:val="00D47651"/>
    <w:rsid w:val="00D47A50"/>
    <w:rsid w:val="00D47D7E"/>
    <w:rsid w:val="00D5012A"/>
    <w:rsid w:val="00D50178"/>
    <w:rsid w:val="00D5019F"/>
    <w:rsid w:val="00D50471"/>
    <w:rsid w:val="00D50634"/>
    <w:rsid w:val="00D507ED"/>
    <w:rsid w:val="00D50876"/>
    <w:rsid w:val="00D50AA9"/>
    <w:rsid w:val="00D50DF0"/>
    <w:rsid w:val="00D51DBE"/>
    <w:rsid w:val="00D51E6F"/>
    <w:rsid w:val="00D5225B"/>
    <w:rsid w:val="00D52B7C"/>
    <w:rsid w:val="00D53336"/>
    <w:rsid w:val="00D53348"/>
    <w:rsid w:val="00D5344C"/>
    <w:rsid w:val="00D53534"/>
    <w:rsid w:val="00D5389F"/>
    <w:rsid w:val="00D53A22"/>
    <w:rsid w:val="00D53F07"/>
    <w:rsid w:val="00D53FFF"/>
    <w:rsid w:val="00D541BE"/>
    <w:rsid w:val="00D544D1"/>
    <w:rsid w:val="00D545B5"/>
    <w:rsid w:val="00D54B93"/>
    <w:rsid w:val="00D54DDA"/>
    <w:rsid w:val="00D55101"/>
    <w:rsid w:val="00D554B3"/>
    <w:rsid w:val="00D55574"/>
    <w:rsid w:val="00D559CC"/>
    <w:rsid w:val="00D55BDD"/>
    <w:rsid w:val="00D572B9"/>
    <w:rsid w:val="00D577DD"/>
    <w:rsid w:val="00D57B45"/>
    <w:rsid w:val="00D600C2"/>
    <w:rsid w:val="00D60162"/>
    <w:rsid w:val="00D603FF"/>
    <w:rsid w:val="00D60866"/>
    <w:rsid w:val="00D60B08"/>
    <w:rsid w:val="00D615C9"/>
    <w:rsid w:val="00D61A70"/>
    <w:rsid w:val="00D61AE8"/>
    <w:rsid w:val="00D61BB5"/>
    <w:rsid w:val="00D61D7F"/>
    <w:rsid w:val="00D61E0A"/>
    <w:rsid w:val="00D6210B"/>
    <w:rsid w:val="00D6226C"/>
    <w:rsid w:val="00D622DB"/>
    <w:rsid w:val="00D62356"/>
    <w:rsid w:val="00D626E1"/>
    <w:rsid w:val="00D62948"/>
    <w:rsid w:val="00D62D92"/>
    <w:rsid w:val="00D62DBB"/>
    <w:rsid w:val="00D630C3"/>
    <w:rsid w:val="00D634F1"/>
    <w:rsid w:val="00D63810"/>
    <w:rsid w:val="00D63B59"/>
    <w:rsid w:val="00D63C3F"/>
    <w:rsid w:val="00D63DCF"/>
    <w:rsid w:val="00D63FF3"/>
    <w:rsid w:val="00D64412"/>
    <w:rsid w:val="00D64544"/>
    <w:rsid w:val="00D6475A"/>
    <w:rsid w:val="00D64853"/>
    <w:rsid w:val="00D650BC"/>
    <w:rsid w:val="00D651B6"/>
    <w:rsid w:val="00D662E0"/>
    <w:rsid w:val="00D66501"/>
    <w:rsid w:val="00D66ABE"/>
    <w:rsid w:val="00D66E01"/>
    <w:rsid w:val="00D66EC4"/>
    <w:rsid w:val="00D672DD"/>
    <w:rsid w:val="00D674AE"/>
    <w:rsid w:val="00D67BD1"/>
    <w:rsid w:val="00D67DB1"/>
    <w:rsid w:val="00D705BD"/>
    <w:rsid w:val="00D707DD"/>
    <w:rsid w:val="00D7210D"/>
    <w:rsid w:val="00D724F4"/>
    <w:rsid w:val="00D726EE"/>
    <w:rsid w:val="00D72A8B"/>
    <w:rsid w:val="00D731B2"/>
    <w:rsid w:val="00D73256"/>
    <w:rsid w:val="00D73592"/>
    <w:rsid w:val="00D736DA"/>
    <w:rsid w:val="00D73B73"/>
    <w:rsid w:val="00D73FE1"/>
    <w:rsid w:val="00D74062"/>
    <w:rsid w:val="00D7430D"/>
    <w:rsid w:val="00D74BED"/>
    <w:rsid w:val="00D74BFA"/>
    <w:rsid w:val="00D74F41"/>
    <w:rsid w:val="00D751F0"/>
    <w:rsid w:val="00D75492"/>
    <w:rsid w:val="00D75C1F"/>
    <w:rsid w:val="00D75E09"/>
    <w:rsid w:val="00D75E85"/>
    <w:rsid w:val="00D75F1F"/>
    <w:rsid w:val="00D76960"/>
    <w:rsid w:val="00D76B9C"/>
    <w:rsid w:val="00D7738B"/>
    <w:rsid w:val="00D7795A"/>
    <w:rsid w:val="00D77C05"/>
    <w:rsid w:val="00D80055"/>
    <w:rsid w:val="00D8027B"/>
    <w:rsid w:val="00D80571"/>
    <w:rsid w:val="00D806D1"/>
    <w:rsid w:val="00D80837"/>
    <w:rsid w:val="00D810CC"/>
    <w:rsid w:val="00D81519"/>
    <w:rsid w:val="00D81AC1"/>
    <w:rsid w:val="00D81BE4"/>
    <w:rsid w:val="00D81DB8"/>
    <w:rsid w:val="00D82056"/>
    <w:rsid w:val="00D828BD"/>
    <w:rsid w:val="00D82AF0"/>
    <w:rsid w:val="00D82BC7"/>
    <w:rsid w:val="00D82D71"/>
    <w:rsid w:val="00D82D73"/>
    <w:rsid w:val="00D8340D"/>
    <w:rsid w:val="00D839E6"/>
    <w:rsid w:val="00D84139"/>
    <w:rsid w:val="00D84361"/>
    <w:rsid w:val="00D84543"/>
    <w:rsid w:val="00D8458A"/>
    <w:rsid w:val="00D84E13"/>
    <w:rsid w:val="00D84E4A"/>
    <w:rsid w:val="00D85D7C"/>
    <w:rsid w:val="00D85E87"/>
    <w:rsid w:val="00D86386"/>
    <w:rsid w:val="00D87782"/>
    <w:rsid w:val="00D87849"/>
    <w:rsid w:val="00D87B62"/>
    <w:rsid w:val="00D87EBC"/>
    <w:rsid w:val="00D903EA"/>
    <w:rsid w:val="00D9103F"/>
    <w:rsid w:val="00D91D33"/>
    <w:rsid w:val="00D91EB8"/>
    <w:rsid w:val="00D9222F"/>
    <w:rsid w:val="00D923E2"/>
    <w:rsid w:val="00D924BB"/>
    <w:rsid w:val="00D927FE"/>
    <w:rsid w:val="00D92A45"/>
    <w:rsid w:val="00D92CAF"/>
    <w:rsid w:val="00D92DFA"/>
    <w:rsid w:val="00D92EE6"/>
    <w:rsid w:val="00D931DC"/>
    <w:rsid w:val="00D936AE"/>
    <w:rsid w:val="00D93792"/>
    <w:rsid w:val="00D940FC"/>
    <w:rsid w:val="00D94604"/>
    <w:rsid w:val="00D94BA6"/>
    <w:rsid w:val="00D952AF"/>
    <w:rsid w:val="00D95500"/>
    <w:rsid w:val="00D95982"/>
    <w:rsid w:val="00D95D7E"/>
    <w:rsid w:val="00D95FE2"/>
    <w:rsid w:val="00D965A9"/>
    <w:rsid w:val="00D96CBA"/>
    <w:rsid w:val="00D96EBC"/>
    <w:rsid w:val="00D97A92"/>
    <w:rsid w:val="00D97BCA"/>
    <w:rsid w:val="00D97EAB"/>
    <w:rsid w:val="00D97F40"/>
    <w:rsid w:val="00DA009B"/>
    <w:rsid w:val="00DA03FD"/>
    <w:rsid w:val="00DA0AA9"/>
    <w:rsid w:val="00DA0C6D"/>
    <w:rsid w:val="00DA0F41"/>
    <w:rsid w:val="00DA1191"/>
    <w:rsid w:val="00DA14FA"/>
    <w:rsid w:val="00DA16B1"/>
    <w:rsid w:val="00DA1DB0"/>
    <w:rsid w:val="00DA22F2"/>
    <w:rsid w:val="00DA2768"/>
    <w:rsid w:val="00DA276F"/>
    <w:rsid w:val="00DA2A3E"/>
    <w:rsid w:val="00DA2A9F"/>
    <w:rsid w:val="00DA2F93"/>
    <w:rsid w:val="00DA300F"/>
    <w:rsid w:val="00DA353A"/>
    <w:rsid w:val="00DA35D2"/>
    <w:rsid w:val="00DA4793"/>
    <w:rsid w:val="00DA4E87"/>
    <w:rsid w:val="00DA5119"/>
    <w:rsid w:val="00DA5168"/>
    <w:rsid w:val="00DA53AC"/>
    <w:rsid w:val="00DA5881"/>
    <w:rsid w:val="00DA5911"/>
    <w:rsid w:val="00DA5EB7"/>
    <w:rsid w:val="00DA63B0"/>
    <w:rsid w:val="00DA6588"/>
    <w:rsid w:val="00DA6ADA"/>
    <w:rsid w:val="00DA6C17"/>
    <w:rsid w:val="00DA6CFD"/>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063"/>
    <w:rsid w:val="00DB1241"/>
    <w:rsid w:val="00DB1506"/>
    <w:rsid w:val="00DB16C2"/>
    <w:rsid w:val="00DB198D"/>
    <w:rsid w:val="00DB1E02"/>
    <w:rsid w:val="00DB230F"/>
    <w:rsid w:val="00DB23BC"/>
    <w:rsid w:val="00DB23EF"/>
    <w:rsid w:val="00DB33A5"/>
    <w:rsid w:val="00DB398E"/>
    <w:rsid w:val="00DB3A96"/>
    <w:rsid w:val="00DB3D65"/>
    <w:rsid w:val="00DB4127"/>
    <w:rsid w:val="00DB42A1"/>
    <w:rsid w:val="00DB4C07"/>
    <w:rsid w:val="00DB4FDC"/>
    <w:rsid w:val="00DB653A"/>
    <w:rsid w:val="00DB6B19"/>
    <w:rsid w:val="00DB6DE6"/>
    <w:rsid w:val="00DB718B"/>
    <w:rsid w:val="00DB7393"/>
    <w:rsid w:val="00DB7960"/>
    <w:rsid w:val="00DB7F12"/>
    <w:rsid w:val="00DC02A3"/>
    <w:rsid w:val="00DC08F3"/>
    <w:rsid w:val="00DC0A0C"/>
    <w:rsid w:val="00DC0D07"/>
    <w:rsid w:val="00DC0ED8"/>
    <w:rsid w:val="00DC1A47"/>
    <w:rsid w:val="00DC1ADB"/>
    <w:rsid w:val="00DC1F36"/>
    <w:rsid w:val="00DC283C"/>
    <w:rsid w:val="00DC29B8"/>
    <w:rsid w:val="00DC2AAB"/>
    <w:rsid w:val="00DC2F23"/>
    <w:rsid w:val="00DC35F0"/>
    <w:rsid w:val="00DC37CD"/>
    <w:rsid w:val="00DC3973"/>
    <w:rsid w:val="00DC3BD3"/>
    <w:rsid w:val="00DC4CB9"/>
    <w:rsid w:val="00DC4F33"/>
    <w:rsid w:val="00DC5BE4"/>
    <w:rsid w:val="00DC6684"/>
    <w:rsid w:val="00DC690A"/>
    <w:rsid w:val="00DC6BB6"/>
    <w:rsid w:val="00DC6F12"/>
    <w:rsid w:val="00DC6FB3"/>
    <w:rsid w:val="00DC7236"/>
    <w:rsid w:val="00DC78A4"/>
    <w:rsid w:val="00DC7B92"/>
    <w:rsid w:val="00DC7BD1"/>
    <w:rsid w:val="00DC7EC2"/>
    <w:rsid w:val="00DD04E0"/>
    <w:rsid w:val="00DD0731"/>
    <w:rsid w:val="00DD0A01"/>
    <w:rsid w:val="00DD0D63"/>
    <w:rsid w:val="00DD0F4B"/>
    <w:rsid w:val="00DD1194"/>
    <w:rsid w:val="00DD1224"/>
    <w:rsid w:val="00DD152A"/>
    <w:rsid w:val="00DD1C14"/>
    <w:rsid w:val="00DD25B9"/>
    <w:rsid w:val="00DD2DDC"/>
    <w:rsid w:val="00DD2F3B"/>
    <w:rsid w:val="00DD35EE"/>
    <w:rsid w:val="00DD3770"/>
    <w:rsid w:val="00DD39B8"/>
    <w:rsid w:val="00DD43D0"/>
    <w:rsid w:val="00DD4B3A"/>
    <w:rsid w:val="00DD4D5B"/>
    <w:rsid w:val="00DD4DB5"/>
    <w:rsid w:val="00DD56A3"/>
    <w:rsid w:val="00DD5CB8"/>
    <w:rsid w:val="00DD5D59"/>
    <w:rsid w:val="00DD6071"/>
    <w:rsid w:val="00DD63A9"/>
    <w:rsid w:val="00DD63DD"/>
    <w:rsid w:val="00DD645E"/>
    <w:rsid w:val="00DD6787"/>
    <w:rsid w:val="00DD6836"/>
    <w:rsid w:val="00DD6C4A"/>
    <w:rsid w:val="00DD6F4C"/>
    <w:rsid w:val="00DD73E6"/>
    <w:rsid w:val="00DD785D"/>
    <w:rsid w:val="00DD79D0"/>
    <w:rsid w:val="00DD7CD0"/>
    <w:rsid w:val="00DD7D25"/>
    <w:rsid w:val="00DD7FD9"/>
    <w:rsid w:val="00DE027E"/>
    <w:rsid w:val="00DE05BF"/>
    <w:rsid w:val="00DE0A9D"/>
    <w:rsid w:val="00DE1568"/>
    <w:rsid w:val="00DE18AD"/>
    <w:rsid w:val="00DE295A"/>
    <w:rsid w:val="00DE2A52"/>
    <w:rsid w:val="00DE31E8"/>
    <w:rsid w:val="00DE327C"/>
    <w:rsid w:val="00DE3456"/>
    <w:rsid w:val="00DE356F"/>
    <w:rsid w:val="00DE40FE"/>
    <w:rsid w:val="00DE4144"/>
    <w:rsid w:val="00DE4C81"/>
    <w:rsid w:val="00DE51AC"/>
    <w:rsid w:val="00DE521B"/>
    <w:rsid w:val="00DE5700"/>
    <w:rsid w:val="00DE5761"/>
    <w:rsid w:val="00DE59EC"/>
    <w:rsid w:val="00DE5A67"/>
    <w:rsid w:val="00DE6164"/>
    <w:rsid w:val="00DE7293"/>
    <w:rsid w:val="00DE7601"/>
    <w:rsid w:val="00DE77E5"/>
    <w:rsid w:val="00DE7824"/>
    <w:rsid w:val="00DE7D0E"/>
    <w:rsid w:val="00DE7E31"/>
    <w:rsid w:val="00DF012D"/>
    <w:rsid w:val="00DF059B"/>
    <w:rsid w:val="00DF086A"/>
    <w:rsid w:val="00DF0879"/>
    <w:rsid w:val="00DF09A8"/>
    <w:rsid w:val="00DF09CE"/>
    <w:rsid w:val="00DF0C6A"/>
    <w:rsid w:val="00DF11E3"/>
    <w:rsid w:val="00DF16B0"/>
    <w:rsid w:val="00DF1BFC"/>
    <w:rsid w:val="00DF2AEB"/>
    <w:rsid w:val="00DF2CD7"/>
    <w:rsid w:val="00DF2FC3"/>
    <w:rsid w:val="00DF308A"/>
    <w:rsid w:val="00DF3427"/>
    <w:rsid w:val="00DF3660"/>
    <w:rsid w:val="00DF38C5"/>
    <w:rsid w:val="00DF3A47"/>
    <w:rsid w:val="00DF4698"/>
    <w:rsid w:val="00DF4777"/>
    <w:rsid w:val="00DF4BC2"/>
    <w:rsid w:val="00DF4CB0"/>
    <w:rsid w:val="00DF4FEF"/>
    <w:rsid w:val="00DF5110"/>
    <w:rsid w:val="00DF516E"/>
    <w:rsid w:val="00DF581F"/>
    <w:rsid w:val="00DF5AD7"/>
    <w:rsid w:val="00DF628C"/>
    <w:rsid w:val="00DF6390"/>
    <w:rsid w:val="00DF6BEF"/>
    <w:rsid w:val="00DF6CDC"/>
    <w:rsid w:val="00DF74E8"/>
    <w:rsid w:val="00DF779E"/>
    <w:rsid w:val="00DF7A4D"/>
    <w:rsid w:val="00E009FA"/>
    <w:rsid w:val="00E00CEE"/>
    <w:rsid w:val="00E00F17"/>
    <w:rsid w:val="00E02188"/>
    <w:rsid w:val="00E02610"/>
    <w:rsid w:val="00E028DB"/>
    <w:rsid w:val="00E02C72"/>
    <w:rsid w:val="00E033E2"/>
    <w:rsid w:val="00E039C2"/>
    <w:rsid w:val="00E040F8"/>
    <w:rsid w:val="00E04892"/>
    <w:rsid w:val="00E04940"/>
    <w:rsid w:val="00E04BF7"/>
    <w:rsid w:val="00E0525F"/>
    <w:rsid w:val="00E054BF"/>
    <w:rsid w:val="00E05C7B"/>
    <w:rsid w:val="00E05E6A"/>
    <w:rsid w:val="00E05F46"/>
    <w:rsid w:val="00E06723"/>
    <w:rsid w:val="00E06973"/>
    <w:rsid w:val="00E06C0A"/>
    <w:rsid w:val="00E07695"/>
    <w:rsid w:val="00E07A25"/>
    <w:rsid w:val="00E07D8A"/>
    <w:rsid w:val="00E07EE8"/>
    <w:rsid w:val="00E07F21"/>
    <w:rsid w:val="00E10529"/>
    <w:rsid w:val="00E10643"/>
    <w:rsid w:val="00E11042"/>
    <w:rsid w:val="00E11D4F"/>
    <w:rsid w:val="00E1249C"/>
    <w:rsid w:val="00E12591"/>
    <w:rsid w:val="00E12A07"/>
    <w:rsid w:val="00E12F2F"/>
    <w:rsid w:val="00E131FD"/>
    <w:rsid w:val="00E142FE"/>
    <w:rsid w:val="00E147BB"/>
    <w:rsid w:val="00E14BE7"/>
    <w:rsid w:val="00E150C2"/>
    <w:rsid w:val="00E151BA"/>
    <w:rsid w:val="00E1606F"/>
    <w:rsid w:val="00E161E8"/>
    <w:rsid w:val="00E16307"/>
    <w:rsid w:val="00E16382"/>
    <w:rsid w:val="00E16563"/>
    <w:rsid w:val="00E16FF8"/>
    <w:rsid w:val="00E17227"/>
    <w:rsid w:val="00E1790C"/>
    <w:rsid w:val="00E17939"/>
    <w:rsid w:val="00E17D3C"/>
    <w:rsid w:val="00E17FBA"/>
    <w:rsid w:val="00E17FCE"/>
    <w:rsid w:val="00E20169"/>
    <w:rsid w:val="00E205E9"/>
    <w:rsid w:val="00E20DD4"/>
    <w:rsid w:val="00E21229"/>
    <w:rsid w:val="00E21315"/>
    <w:rsid w:val="00E22511"/>
    <w:rsid w:val="00E228B3"/>
    <w:rsid w:val="00E229E6"/>
    <w:rsid w:val="00E22B61"/>
    <w:rsid w:val="00E22CBB"/>
    <w:rsid w:val="00E2368E"/>
    <w:rsid w:val="00E23716"/>
    <w:rsid w:val="00E23F4D"/>
    <w:rsid w:val="00E240B5"/>
    <w:rsid w:val="00E2433C"/>
    <w:rsid w:val="00E24D2A"/>
    <w:rsid w:val="00E24F0C"/>
    <w:rsid w:val="00E254DF"/>
    <w:rsid w:val="00E25640"/>
    <w:rsid w:val="00E25700"/>
    <w:rsid w:val="00E25AE1"/>
    <w:rsid w:val="00E25B28"/>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1F9C"/>
    <w:rsid w:val="00E32141"/>
    <w:rsid w:val="00E321C7"/>
    <w:rsid w:val="00E323D6"/>
    <w:rsid w:val="00E32585"/>
    <w:rsid w:val="00E32A04"/>
    <w:rsid w:val="00E32A31"/>
    <w:rsid w:val="00E32FBC"/>
    <w:rsid w:val="00E331A2"/>
    <w:rsid w:val="00E33750"/>
    <w:rsid w:val="00E34105"/>
    <w:rsid w:val="00E3445E"/>
    <w:rsid w:val="00E34991"/>
    <w:rsid w:val="00E34DA7"/>
    <w:rsid w:val="00E34EA2"/>
    <w:rsid w:val="00E34EDA"/>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4C1"/>
    <w:rsid w:val="00E43C8F"/>
    <w:rsid w:val="00E43D1D"/>
    <w:rsid w:val="00E4490C"/>
    <w:rsid w:val="00E449DD"/>
    <w:rsid w:val="00E44B31"/>
    <w:rsid w:val="00E454D9"/>
    <w:rsid w:val="00E45919"/>
    <w:rsid w:val="00E45C0D"/>
    <w:rsid w:val="00E45EB8"/>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22A7"/>
    <w:rsid w:val="00E52931"/>
    <w:rsid w:val="00E5294E"/>
    <w:rsid w:val="00E52965"/>
    <w:rsid w:val="00E53102"/>
    <w:rsid w:val="00E53768"/>
    <w:rsid w:val="00E53FD7"/>
    <w:rsid w:val="00E54141"/>
    <w:rsid w:val="00E558F5"/>
    <w:rsid w:val="00E55AAB"/>
    <w:rsid w:val="00E55D8A"/>
    <w:rsid w:val="00E561C6"/>
    <w:rsid w:val="00E56B10"/>
    <w:rsid w:val="00E571B0"/>
    <w:rsid w:val="00E572B0"/>
    <w:rsid w:val="00E57DF7"/>
    <w:rsid w:val="00E60408"/>
    <w:rsid w:val="00E605B9"/>
    <w:rsid w:val="00E608D4"/>
    <w:rsid w:val="00E60D47"/>
    <w:rsid w:val="00E61042"/>
    <w:rsid w:val="00E61407"/>
    <w:rsid w:val="00E61543"/>
    <w:rsid w:val="00E6169D"/>
    <w:rsid w:val="00E618A1"/>
    <w:rsid w:val="00E61E0B"/>
    <w:rsid w:val="00E621B0"/>
    <w:rsid w:val="00E62296"/>
    <w:rsid w:val="00E62382"/>
    <w:rsid w:val="00E627E7"/>
    <w:rsid w:val="00E62AB8"/>
    <w:rsid w:val="00E6326A"/>
    <w:rsid w:val="00E63579"/>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2E"/>
    <w:rsid w:val="00E7067F"/>
    <w:rsid w:val="00E706C4"/>
    <w:rsid w:val="00E709AB"/>
    <w:rsid w:val="00E70AD5"/>
    <w:rsid w:val="00E711F9"/>
    <w:rsid w:val="00E717F3"/>
    <w:rsid w:val="00E7187A"/>
    <w:rsid w:val="00E71A37"/>
    <w:rsid w:val="00E71BD4"/>
    <w:rsid w:val="00E72ECC"/>
    <w:rsid w:val="00E73A63"/>
    <w:rsid w:val="00E73B0C"/>
    <w:rsid w:val="00E73B72"/>
    <w:rsid w:val="00E73C44"/>
    <w:rsid w:val="00E74744"/>
    <w:rsid w:val="00E7479A"/>
    <w:rsid w:val="00E75183"/>
    <w:rsid w:val="00E75499"/>
    <w:rsid w:val="00E75707"/>
    <w:rsid w:val="00E75942"/>
    <w:rsid w:val="00E75D4C"/>
    <w:rsid w:val="00E762C6"/>
    <w:rsid w:val="00E76369"/>
    <w:rsid w:val="00E763C0"/>
    <w:rsid w:val="00E76410"/>
    <w:rsid w:val="00E7654F"/>
    <w:rsid w:val="00E767A7"/>
    <w:rsid w:val="00E768C1"/>
    <w:rsid w:val="00E76F49"/>
    <w:rsid w:val="00E7719D"/>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2B4"/>
    <w:rsid w:val="00E83D17"/>
    <w:rsid w:val="00E83F18"/>
    <w:rsid w:val="00E8416E"/>
    <w:rsid w:val="00E84336"/>
    <w:rsid w:val="00E84682"/>
    <w:rsid w:val="00E8470B"/>
    <w:rsid w:val="00E84A8F"/>
    <w:rsid w:val="00E84CDC"/>
    <w:rsid w:val="00E84D08"/>
    <w:rsid w:val="00E850A3"/>
    <w:rsid w:val="00E85704"/>
    <w:rsid w:val="00E85CD1"/>
    <w:rsid w:val="00E85EBF"/>
    <w:rsid w:val="00E86029"/>
    <w:rsid w:val="00E86954"/>
    <w:rsid w:val="00E86F76"/>
    <w:rsid w:val="00E87D16"/>
    <w:rsid w:val="00E87FC3"/>
    <w:rsid w:val="00E9038F"/>
    <w:rsid w:val="00E904A8"/>
    <w:rsid w:val="00E90871"/>
    <w:rsid w:val="00E90D7D"/>
    <w:rsid w:val="00E915EE"/>
    <w:rsid w:val="00E91608"/>
    <w:rsid w:val="00E92328"/>
    <w:rsid w:val="00E92411"/>
    <w:rsid w:val="00E924CF"/>
    <w:rsid w:val="00E92B1D"/>
    <w:rsid w:val="00E92C20"/>
    <w:rsid w:val="00E92F0F"/>
    <w:rsid w:val="00E932AD"/>
    <w:rsid w:val="00E93575"/>
    <w:rsid w:val="00E936BB"/>
    <w:rsid w:val="00E93755"/>
    <w:rsid w:val="00E93A39"/>
    <w:rsid w:val="00E93B4C"/>
    <w:rsid w:val="00E93FFE"/>
    <w:rsid w:val="00E9423E"/>
    <w:rsid w:val="00E94965"/>
    <w:rsid w:val="00E949FD"/>
    <w:rsid w:val="00E94AD1"/>
    <w:rsid w:val="00E94F6B"/>
    <w:rsid w:val="00E95477"/>
    <w:rsid w:val="00E962F8"/>
    <w:rsid w:val="00E96820"/>
    <w:rsid w:val="00E96C55"/>
    <w:rsid w:val="00E96D54"/>
    <w:rsid w:val="00E96DAC"/>
    <w:rsid w:val="00E9727B"/>
    <w:rsid w:val="00E97321"/>
    <w:rsid w:val="00EA09D5"/>
    <w:rsid w:val="00EA153A"/>
    <w:rsid w:val="00EA1AE0"/>
    <w:rsid w:val="00EA23F4"/>
    <w:rsid w:val="00EA2697"/>
    <w:rsid w:val="00EA2981"/>
    <w:rsid w:val="00EA2AB4"/>
    <w:rsid w:val="00EA2B7A"/>
    <w:rsid w:val="00EA2F12"/>
    <w:rsid w:val="00EA358E"/>
    <w:rsid w:val="00EA3BA8"/>
    <w:rsid w:val="00EA459C"/>
    <w:rsid w:val="00EA5343"/>
    <w:rsid w:val="00EA5FDF"/>
    <w:rsid w:val="00EA661F"/>
    <w:rsid w:val="00EA7AE3"/>
    <w:rsid w:val="00EA7AF6"/>
    <w:rsid w:val="00EA7EBE"/>
    <w:rsid w:val="00EB0279"/>
    <w:rsid w:val="00EB0869"/>
    <w:rsid w:val="00EB0AAA"/>
    <w:rsid w:val="00EB1225"/>
    <w:rsid w:val="00EB1338"/>
    <w:rsid w:val="00EB1549"/>
    <w:rsid w:val="00EB1A9A"/>
    <w:rsid w:val="00EB1AC4"/>
    <w:rsid w:val="00EB1BC5"/>
    <w:rsid w:val="00EB224D"/>
    <w:rsid w:val="00EB2C0C"/>
    <w:rsid w:val="00EB2E28"/>
    <w:rsid w:val="00EB3111"/>
    <w:rsid w:val="00EB36C9"/>
    <w:rsid w:val="00EB36D3"/>
    <w:rsid w:val="00EB37A3"/>
    <w:rsid w:val="00EB3BB1"/>
    <w:rsid w:val="00EB3C33"/>
    <w:rsid w:val="00EB3C52"/>
    <w:rsid w:val="00EB4BEF"/>
    <w:rsid w:val="00EB4BFA"/>
    <w:rsid w:val="00EB4D13"/>
    <w:rsid w:val="00EB4F49"/>
    <w:rsid w:val="00EB5253"/>
    <w:rsid w:val="00EB5791"/>
    <w:rsid w:val="00EB595A"/>
    <w:rsid w:val="00EB5A47"/>
    <w:rsid w:val="00EB5B1F"/>
    <w:rsid w:val="00EB644D"/>
    <w:rsid w:val="00EB6A76"/>
    <w:rsid w:val="00EB6EDA"/>
    <w:rsid w:val="00EB7076"/>
    <w:rsid w:val="00EB7626"/>
    <w:rsid w:val="00EB76B4"/>
    <w:rsid w:val="00EB7E63"/>
    <w:rsid w:val="00EB7EFD"/>
    <w:rsid w:val="00EC03D1"/>
    <w:rsid w:val="00EC04A4"/>
    <w:rsid w:val="00EC16DE"/>
    <w:rsid w:val="00EC18C0"/>
    <w:rsid w:val="00EC19C4"/>
    <w:rsid w:val="00EC1BA2"/>
    <w:rsid w:val="00EC1CE3"/>
    <w:rsid w:val="00EC1E8C"/>
    <w:rsid w:val="00EC1F1E"/>
    <w:rsid w:val="00EC265A"/>
    <w:rsid w:val="00EC26D9"/>
    <w:rsid w:val="00EC2826"/>
    <w:rsid w:val="00EC289F"/>
    <w:rsid w:val="00EC3114"/>
    <w:rsid w:val="00EC3307"/>
    <w:rsid w:val="00EC3316"/>
    <w:rsid w:val="00EC4367"/>
    <w:rsid w:val="00EC4948"/>
    <w:rsid w:val="00EC4A64"/>
    <w:rsid w:val="00EC5933"/>
    <w:rsid w:val="00EC6090"/>
    <w:rsid w:val="00EC63B5"/>
    <w:rsid w:val="00EC6502"/>
    <w:rsid w:val="00EC6897"/>
    <w:rsid w:val="00EC6CCD"/>
    <w:rsid w:val="00EC7170"/>
    <w:rsid w:val="00EC7266"/>
    <w:rsid w:val="00EC76F7"/>
    <w:rsid w:val="00ED0040"/>
    <w:rsid w:val="00ED00D0"/>
    <w:rsid w:val="00ED03D6"/>
    <w:rsid w:val="00ED0803"/>
    <w:rsid w:val="00ED09B9"/>
    <w:rsid w:val="00ED0DEA"/>
    <w:rsid w:val="00ED0E76"/>
    <w:rsid w:val="00ED1477"/>
    <w:rsid w:val="00ED1966"/>
    <w:rsid w:val="00ED19A9"/>
    <w:rsid w:val="00ED2991"/>
    <w:rsid w:val="00ED2DD1"/>
    <w:rsid w:val="00ED31DB"/>
    <w:rsid w:val="00ED38CF"/>
    <w:rsid w:val="00ED41D4"/>
    <w:rsid w:val="00ED44C2"/>
    <w:rsid w:val="00ED5218"/>
    <w:rsid w:val="00ED59A1"/>
    <w:rsid w:val="00ED5C4B"/>
    <w:rsid w:val="00ED6955"/>
    <w:rsid w:val="00ED738E"/>
    <w:rsid w:val="00EE0AE8"/>
    <w:rsid w:val="00EE0D68"/>
    <w:rsid w:val="00EE0DD3"/>
    <w:rsid w:val="00EE10A4"/>
    <w:rsid w:val="00EE11AD"/>
    <w:rsid w:val="00EE15F4"/>
    <w:rsid w:val="00EE16CB"/>
    <w:rsid w:val="00EE18EC"/>
    <w:rsid w:val="00EE1C17"/>
    <w:rsid w:val="00EE289C"/>
    <w:rsid w:val="00EE35F9"/>
    <w:rsid w:val="00EE3B8A"/>
    <w:rsid w:val="00EE4175"/>
    <w:rsid w:val="00EE4A67"/>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A3A"/>
    <w:rsid w:val="00EE7D17"/>
    <w:rsid w:val="00EF019D"/>
    <w:rsid w:val="00EF0A97"/>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6A45"/>
    <w:rsid w:val="00EF74A7"/>
    <w:rsid w:val="00EF7594"/>
    <w:rsid w:val="00EF7991"/>
    <w:rsid w:val="00F00159"/>
    <w:rsid w:val="00F001C1"/>
    <w:rsid w:val="00F0066C"/>
    <w:rsid w:val="00F00B53"/>
    <w:rsid w:val="00F00C09"/>
    <w:rsid w:val="00F019DD"/>
    <w:rsid w:val="00F0215D"/>
    <w:rsid w:val="00F02313"/>
    <w:rsid w:val="00F026E3"/>
    <w:rsid w:val="00F027AD"/>
    <w:rsid w:val="00F02D07"/>
    <w:rsid w:val="00F02E57"/>
    <w:rsid w:val="00F03097"/>
    <w:rsid w:val="00F03753"/>
    <w:rsid w:val="00F0378E"/>
    <w:rsid w:val="00F03EAD"/>
    <w:rsid w:val="00F041B7"/>
    <w:rsid w:val="00F04833"/>
    <w:rsid w:val="00F04983"/>
    <w:rsid w:val="00F05557"/>
    <w:rsid w:val="00F05850"/>
    <w:rsid w:val="00F05996"/>
    <w:rsid w:val="00F05A19"/>
    <w:rsid w:val="00F05AA5"/>
    <w:rsid w:val="00F06057"/>
    <w:rsid w:val="00F064F2"/>
    <w:rsid w:val="00F064F9"/>
    <w:rsid w:val="00F0693C"/>
    <w:rsid w:val="00F07185"/>
    <w:rsid w:val="00F071C6"/>
    <w:rsid w:val="00F07587"/>
    <w:rsid w:val="00F076DE"/>
    <w:rsid w:val="00F07842"/>
    <w:rsid w:val="00F07EBC"/>
    <w:rsid w:val="00F102D6"/>
    <w:rsid w:val="00F10972"/>
    <w:rsid w:val="00F10A51"/>
    <w:rsid w:val="00F10E94"/>
    <w:rsid w:val="00F112F1"/>
    <w:rsid w:val="00F117C2"/>
    <w:rsid w:val="00F123AB"/>
    <w:rsid w:val="00F123DA"/>
    <w:rsid w:val="00F125DC"/>
    <w:rsid w:val="00F12A41"/>
    <w:rsid w:val="00F134E6"/>
    <w:rsid w:val="00F13941"/>
    <w:rsid w:val="00F13973"/>
    <w:rsid w:val="00F13C09"/>
    <w:rsid w:val="00F140F0"/>
    <w:rsid w:val="00F14405"/>
    <w:rsid w:val="00F1445F"/>
    <w:rsid w:val="00F145DF"/>
    <w:rsid w:val="00F14F1F"/>
    <w:rsid w:val="00F1521E"/>
    <w:rsid w:val="00F15557"/>
    <w:rsid w:val="00F15AEB"/>
    <w:rsid w:val="00F16C2E"/>
    <w:rsid w:val="00F16EF0"/>
    <w:rsid w:val="00F176B7"/>
    <w:rsid w:val="00F17C44"/>
    <w:rsid w:val="00F17D32"/>
    <w:rsid w:val="00F20579"/>
    <w:rsid w:val="00F20859"/>
    <w:rsid w:val="00F208B5"/>
    <w:rsid w:val="00F20A86"/>
    <w:rsid w:val="00F20F66"/>
    <w:rsid w:val="00F21940"/>
    <w:rsid w:val="00F21974"/>
    <w:rsid w:val="00F2198A"/>
    <w:rsid w:val="00F21D8C"/>
    <w:rsid w:val="00F2286E"/>
    <w:rsid w:val="00F22D00"/>
    <w:rsid w:val="00F237F2"/>
    <w:rsid w:val="00F23CF7"/>
    <w:rsid w:val="00F2403B"/>
    <w:rsid w:val="00F24295"/>
    <w:rsid w:val="00F2460C"/>
    <w:rsid w:val="00F24ABE"/>
    <w:rsid w:val="00F24D10"/>
    <w:rsid w:val="00F251D8"/>
    <w:rsid w:val="00F25463"/>
    <w:rsid w:val="00F25C21"/>
    <w:rsid w:val="00F26065"/>
    <w:rsid w:val="00F2622C"/>
    <w:rsid w:val="00F270C3"/>
    <w:rsid w:val="00F2757C"/>
    <w:rsid w:val="00F2798A"/>
    <w:rsid w:val="00F30135"/>
    <w:rsid w:val="00F30417"/>
    <w:rsid w:val="00F30BF5"/>
    <w:rsid w:val="00F30DC9"/>
    <w:rsid w:val="00F311D4"/>
    <w:rsid w:val="00F314B5"/>
    <w:rsid w:val="00F315FA"/>
    <w:rsid w:val="00F3169B"/>
    <w:rsid w:val="00F31D5B"/>
    <w:rsid w:val="00F31E61"/>
    <w:rsid w:val="00F31FCE"/>
    <w:rsid w:val="00F31FF9"/>
    <w:rsid w:val="00F32807"/>
    <w:rsid w:val="00F32899"/>
    <w:rsid w:val="00F32B51"/>
    <w:rsid w:val="00F333EC"/>
    <w:rsid w:val="00F3372A"/>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29F"/>
    <w:rsid w:val="00F3736F"/>
    <w:rsid w:val="00F40715"/>
    <w:rsid w:val="00F4087C"/>
    <w:rsid w:val="00F40BC1"/>
    <w:rsid w:val="00F4110E"/>
    <w:rsid w:val="00F4122F"/>
    <w:rsid w:val="00F41298"/>
    <w:rsid w:val="00F4129E"/>
    <w:rsid w:val="00F41311"/>
    <w:rsid w:val="00F41BD7"/>
    <w:rsid w:val="00F41C1F"/>
    <w:rsid w:val="00F42947"/>
    <w:rsid w:val="00F42C5D"/>
    <w:rsid w:val="00F42C97"/>
    <w:rsid w:val="00F42E38"/>
    <w:rsid w:val="00F42FB5"/>
    <w:rsid w:val="00F4365A"/>
    <w:rsid w:val="00F43E9B"/>
    <w:rsid w:val="00F44C6C"/>
    <w:rsid w:val="00F44E77"/>
    <w:rsid w:val="00F4510E"/>
    <w:rsid w:val="00F4566C"/>
    <w:rsid w:val="00F457AC"/>
    <w:rsid w:val="00F45981"/>
    <w:rsid w:val="00F45A96"/>
    <w:rsid w:val="00F45ACC"/>
    <w:rsid w:val="00F45F1A"/>
    <w:rsid w:val="00F467F7"/>
    <w:rsid w:val="00F47585"/>
    <w:rsid w:val="00F4799D"/>
    <w:rsid w:val="00F47E1E"/>
    <w:rsid w:val="00F47F0A"/>
    <w:rsid w:val="00F500DA"/>
    <w:rsid w:val="00F50965"/>
    <w:rsid w:val="00F50CCD"/>
    <w:rsid w:val="00F50F4E"/>
    <w:rsid w:val="00F50FC2"/>
    <w:rsid w:val="00F510A6"/>
    <w:rsid w:val="00F51603"/>
    <w:rsid w:val="00F51972"/>
    <w:rsid w:val="00F51C2D"/>
    <w:rsid w:val="00F521BF"/>
    <w:rsid w:val="00F52868"/>
    <w:rsid w:val="00F52CDF"/>
    <w:rsid w:val="00F53BE5"/>
    <w:rsid w:val="00F53D57"/>
    <w:rsid w:val="00F541E4"/>
    <w:rsid w:val="00F54412"/>
    <w:rsid w:val="00F5468E"/>
    <w:rsid w:val="00F54729"/>
    <w:rsid w:val="00F54AFE"/>
    <w:rsid w:val="00F553F2"/>
    <w:rsid w:val="00F55954"/>
    <w:rsid w:val="00F55CB3"/>
    <w:rsid w:val="00F5689C"/>
    <w:rsid w:val="00F56C09"/>
    <w:rsid w:val="00F56EBE"/>
    <w:rsid w:val="00F57EEC"/>
    <w:rsid w:val="00F6031F"/>
    <w:rsid w:val="00F60493"/>
    <w:rsid w:val="00F60920"/>
    <w:rsid w:val="00F61364"/>
    <w:rsid w:val="00F61621"/>
    <w:rsid w:val="00F61A39"/>
    <w:rsid w:val="00F61D8A"/>
    <w:rsid w:val="00F61FAC"/>
    <w:rsid w:val="00F62921"/>
    <w:rsid w:val="00F62DE2"/>
    <w:rsid w:val="00F6328B"/>
    <w:rsid w:val="00F63595"/>
    <w:rsid w:val="00F63812"/>
    <w:rsid w:val="00F63D90"/>
    <w:rsid w:val="00F64357"/>
    <w:rsid w:val="00F64787"/>
    <w:rsid w:val="00F64EDB"/>
    <w:rsid w:val="00F65C28"/>
    <w:rsid w:val="00F660E2"/>
    <w:rsid w:val="00F663C0"/>
    <w:rsid w:val="00F663D9"/>
    <w:rsid w:val="00F663EA"/>
    <w:rsid w:val="00F6663B"/>
    <w:rsid w:val="00F66FF6"/>
    <w:rsid w:val="00F6729E"/>
    <w:rsid w:val="00F6747A"/>
    <w:rsid w:val="00F67AFF"/>
    <w:rsid w:val="00F70006"/>
    <w:rsid w:val="00F70868"/>
    <w:rsid w:val="00F70950"/>
    <w:rsid w:val="00F7150D"/>
    <w:rsid w:val="00F71865"/>
    <w:rsid w:val="00F71877"/>
    <w:rsid w:val="00F71D8E"/>
    <w:rsid w:val="00F72203"/>
    <w:rsid w:val="00F728C0"/>
    <w:rsid w:val="00F72C62"/>
    <w:rsid w:val="00F72DCF"/>
    <w:rsid w:val="00F72EE2"/>
    <w:rsid w:val="00F73186"/>
    <w:rsid w:val="00F7351E"/>
    <w:rsid w:val="00F73588"/>
    <w:rsid w:val="00F73619"/>
    <w:rsid w:val="00F736B6"/>
    <w:rsid w:val="00F747C1"/>
    <w:rsid w:val="00F749EC"/>
    <w:rsid w:val="00F74A54"/>
    <w:rsid w:val="00F74B5E"/>
    <w:rsid w:val="00F754FB"/>
    <w:rsid w:val="00F7574D"/>
    <w:rsid w:val="00F75AD2"/>
    <w:rsid w:val="00F76BCC"/>
    <w:rsid w:val="00F77167"/>
    <w:rsid w:val="00F776E5"/>
    <w:rsid w:val="00F80204"/>
    <w:rsid w:val="00F80723"/>
    <w:rsid w:val="00F81119"/>
    <w:rsid w:val="00F8141B"/>
    <w:rsid w:val="00F81C53"/>
    <w:rsid w:val="00F81FA0"/>
    <w:rsid w:val="00F82090"/>
    <w:rsid w:val="00F820E8"/>
    <w:rsid w:val="00F82737"/>
    <w:rsid w:val="00F82BBB"/>
    <w:rsid w:val="00F82C50"/>
    <w:rsid w:val="00F82E94"/>
    <w:rsid w:val="00F82EF6"/>
    <w:rsid w:val="00F838C9"/>
    <w:rsid w:val="00F839F6"/>
    <w:rsid w:val="00F83A9A"/>
    <w:rsid w:val="00F840E1"/>
    <w:rsid w:val="00F8416D"/>
    <w:rsid w:val="00F8463D"/>
    <w:rsid w:val="00F84B72"/>
    <w:rsid w:val="00F84CD1"/>
    <w:rsid w:val="00F85233"/>
    <w:rsid w:val="00F852B2"/>
    <w:rsid w:val="00F85B2C"/>
    <w:rsid w:val="00F85B64"/>
    <w:rsid w:val="00F87011"/>
    <w:rsid w:val="00F87AD3"/>
    <w:rsid w:val="00F87E4B"/>
    <w:rsid w:val="00F87EE7"/>
    <w:rsid w:val="00F9015C"/>
    <w:rsid w:val="00F90ACB"/>
    <w:rsid w:val="00F915FC"/>
    <w:rsid w:val="00F91D33"/>
    <w:rsid w:val="00F920A4"/>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A0EC3"/>
    <w:rsid w:val="00FA1646"/>
    <w:rsid w:val="00FA1882"/>
    <w:rsid w:val="00FA1EFD"/>
    <w:rsid w:val="00FA2416"/>
    <w:rsid w:val="00FA2543"/>
    <w:rsid w:val="00FA2823"/>
    <w:rsid w:val="00FA2BCD"/>
    <w:rsid w:val="00FA30E0"/>
    <w:rsid w:val="00FA324A"/>
    <w:rsid w:val="00FA33FA"/>
    <w:rsid w:val="00FA38A0"/>
    <w:rsid w:val="00FA38F0"/>
    <w:rsid w:val="00FA3B09"/>
    <w:rsid w:val="00FA3C90"/>
    <w:rsid w:val="00FA3D59"/>
    <w:rsid w:val="00FA476F"/>
    <w:rsid w:val="00FA4D58"/>
    <w:rsid w:val="00FA4EB5"/>
    <w:rsid w:val="00FA4F02"/>
    <w:rsid w:val="00FA4F5B"/>
    <w:rsid w:val="00FA5199"/>
    <w:rsid w:val="00FA564E"/>
    <w:rsid w:val="00FA5AB4"/>
    <w:rsid w:val="00FA5BCB"/>
    <w:rsid w:val="00FA637E"/>
    <w:rsid w:val="00FA681C"/>
    <w:rsid w:val="00FA6BE0"/>
    <w:rsid w:val="00FA6CE3"/>
    <w:rsid w:val="00FA6E3F"/>
    <w:rsid w:val="00FA70F1"/>
    <w:rsid w:val="00FA7C90"/>
    <w:rsid w:val="00FB00C9"/>
    <w:rsid w:val="00FB03B5"/>
    <w:rsid w:val="00FB0562"/>
    <w:rsid w:val="00FB06E0"/>
    <w:rsid w:val="00FB084B"/>
    <w:rsid w:val="00FB0902"/>
    <w:rsid w:val="00FB0C32"/>
    <w:rsid w:val="00FB0E87"/>
    <w:rsid w:val="00FB0FE4"/>
    <w:rsid w:val="00FB133A"/>
    <w:rsid w:val="00FB1886"/>
    <w:rsid w:val="00FB1FB5"/>
    <w:rsid w:val="00FB225F"/>
    <w:rsid w:val="00FB27B7"/>
    <w:rsid w:val="00FB2B91"/>
    <w:rsid w:val="00FB2B99"/>
    <w:rsid w:val="00FB2F53"/>
    <w:rsid w:val="00FB3436"/>
    <w:rsid w:val="00FB3AE4"/>
    <w:rsid w:val="00FB3ED3"/>
    <w:rsid w:val="00FB400D"/>
    <w:rsid w:val="00FB47A0"/>
    <w:rsid w:val="00FB4B09"/>
    <w:rsid w:val="00FB4B9C"/>
    <w:rsid w:val="00FB4C32"/>
    <w:rsid w:val="00FB5542"/>
    <w:rsid w:val="00FB5F2C"/>
    <w:rsid w:val="00FB643A"/>
    <w:rsid w:val="00FB6866"/>
    <w:rsid w:val="00FB6918"/>
    <w:rsid w:val="00FB6B30"/>
    <w:rsid w:val="00FB6B37"/>
    <w:rsid w:val="00FB6F8E"/>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449C"/>
    <w:rsid w:val="00FC488D"/>
    <w:rsid w:val="00FC50CD"/>
    <w:rsid w:val="00FC54C0"/>
    <w:rsid w:val="00FC6557"/>
    <w:rsid w:val="00FC6604"/>
    <w:rsid w:val="00FC67F7"/>
    <w:rsid w:val="00FC6B79"/>
    <w:rsid w:val="00FC6B99"/>
    <w:rsid w:val="00FC6C36"/>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EC3"/>
    <w:rsid w:val="00FD348E"/>
    <w:rsid w:val="00FD3495"/>
    <w:rsid w:val="00FD3BC6"/>
    <w:rsid w:val="00FD3C81"/>
    <w:rsid w:val="00FD425B"/>
    <w:rsid w:val="00FD430A"/>
    <w:rsid w:val="00FD4A11"/>
    <w:rsid w:val="00FD4E1E"/>
    <w:rsid w:val="00FD5413"/>
    <w:rsid w:val="00FD5943"/>
    <w:rsid w:val="00FD5A56"/>
    <w:rsid w:val="00FD5A70"/>
    <w:rsid w:val="00FD5BE3"/>
    <w:rsid w:val="00FD5D01"/>
    <w:rsid w:val="00FD5D3B"/>
    <w:rsid w:val="00FD6371"/>
    <w:rsid w:val="00FD6708"/>
    <w:rsid w:val="00FD717E"/>
    <w:rsid w:val="00FD75A5"/>
    <w:rsid w:val="00FE0346"/>
    <w:rsid w:val="00FE038E"/>
    <w:rsid w:val="00FE0725"/>
    <w:rsid w:val="00FE08A4"/>
    <w:rsid w:val="00FE0F45"/>
    <w:rsid w:val="00FE112F"/>
    <w:rsid w:val="00FE131C"/>
    <w:rsid w:val="00FE14B2"/>
    <w:rsid w:val="00FE16BF"/>
    <w:rsid w:val="00FE1784"/>
    <w:rsid w:val="00FE18D3"/>
    <w:rsid w:val="00FE1AF4"/>
    <w:rsid w:val="00FE22BE"/>
    <w:rsid w:val="00FE2481"/>
    <w:rsid w:val="00FE26B3"/>
    <w:rsid w:val="00FE3C83"/>
    <w:rsid w:val="00FE3D94"/>
    <w:rsid w:val="00FE436B"/>
    <w:rsid w:val="00FE54C1"/>
    <w:rsid w:val="00FE567C"/>
    <w:rsid w:val="00FE5EF4"/>
    <w:rsid w:val="00FE5F32"/>
    <w:rsid w:val="00FE6573"/>
    <w:rsid w:val="00FE6F49"/>
    <w:rsid w:val="00FE75BC"/>
    <w:rsid w:val="00FE7AB5"/>
    <w:rsid w:val="00FE7EF2"/>
    <w:rsid w:val="00FF0C84"/>
    <w:rsid w:val="00FF0EBC"/>
    <w:rsid w:val="00FF0FD0"/>
    <w:rsid w:val="00FF112D"/>
    <w:rsid w:val="00FF139E"/>
    <w:rsid w:val="00FF1610"/>
    <w:rsid w:val="00FF1C66"/>
    <w:rsid w:val="00FF21EA"/>
    <w:rsid w:val="00FF2425"/>
    <w:rsid w:val="00FF2D03"/>
    <w:rsid w:val="00FF2F80"/>
    <w:rsid w:val="00FF3AA1"/>
    <w:rsid w:val="00FF3ED7"/>
    <w:rsid w:val="00FF4203"/>
    <w:rsid w:val="00FF4467"/>
    <w:rsid w:val="00FF46A3"/>
    <w:rsid w:val="00FF472B"/>
    <w:rsid w:val="00FF48B5"/>
    <w:rsid w:val="00FF48B9"/>
    <w:rsid w:val="00FF4D58"/>
    <w:rsid w:val="00FF4D76"/>
    <w:rsid w:val="00FF4F95"/>
    <w:rsid w:val="00FF515E"/>
    <w:rsid w:val="00FF51AF"/>
    <w:rsid w:val="00FF57C5"/>
    <w:rsid w:val="00FF6158"/>
    <w:rsid w:val="00FF7514"/>
    <w:rsid w:val="00FF7E0D"/>
    <w:rsid w:val="02794E08"/>
    <w:rsid w:val="02DB0B4B"/>
    <w:rsid w:val="04024246"/>
    <w:rsid w:val="043D2793"/>
    <w:rsid w:val="08144B11"/>
    <w:rsid w:val="08BE7D5F"/>
    <w:rsid w:val="091E0915"/>
    <w:rsid w:val="0A5F51C6"/>
    <w:rsid w:val="0BE93457"/>
    <w:rsid w:val="0D156E09"/>
    <w:rsid w:val="0D7C74FB"/>
    <w:rsid w:val="0D906E02"/>
    <w:rsid w:val="0E84782D"/>
    <w:rsid w:val="0F9F33CE"/>
    <w:rsid w:val="11E244A3"/>
    <w:rsid w:val="17886C3C"/>
    <w:rsid w:val="182520AA"/>
    <w:rsid w:val="1A08462C"/>
    <w:rsid w:val="1D591175"/>
    <w:rsid w:val="1F7F44A3"/>
    <w:rsid w:val="22906AD4"/>
    <w:rsid w:val="23DA4D21"/>
    <w:rsid w:val="258C1BD4"/>
    <w:rsid w:val="25D350EF"/>
    <w:rsid w:val="269821F2"/>
    <w:rsid w:val="299A549A"/>
    <w:rsid w:val="29FE0BA2"/>
    <w:rsid w:val="2C124B51"/>
    <w:rsid w:val="2C85090D"/>
    <w:rsid w:val="300362BE"/>
    <w:rsid w:val="34CC7E5C"/>
    <w:rsid w:val="3B16552D"/>
    <w:rsid w:val="3B195166"/>
    <w:rsid w:val="3E6732BA"/>
    <w:rsid w:val="438B323B"/>
    <w:rsid w:val="4644070E"/>
    <w:rsid w:val="473E40C2"/>
    <w:rsid w:val="4F68260A"/>
    <w:rsid w:val="4FE42D70"/>
    <w:rsid w:val="4FF041E4"/>
    <w:rsid w:val="508C08D8"/>
    <w:rsid w:val="50FE1D53"/>
    <w:rsid w:val="51AF1C2C"/>
    <w:rsid w:val="51F72F60"/>
    <w:rsid w:val="53BD3E87"/>
    <w:rsid w:val="53C019A2"/>
    <w:rsid w:val="55A36F63"/>
    <w:rsid w:val="56CA4655"/>
    <w:rsid w:val="57311CF3"/>
    <w:rsid w:val="57AF6667"/>
    <w:rsid w:val="587C7306"/>
    <w:rsid w:val="59E75C6D"/>
    <w:rsid w:val="5A8B13E8"/>
    <w:rsid w:val="5E67548B"/>
    <w:rsid w:val="693D2015"/>
    <w:rsid w:val="69E97595"/>
    <w:rsid w:val="69F60125"/>
    <w:rsid w:val="6A970098"/>
    <w:rsid w:val="6C040904"/>
    <w:rsid w:val="6C5C7ED0"/>
    <w:rsid w:val="6D676DA5"/>
    <w:rsid w:val="6E2A7B2F"/>
    <w:rsid w:val="721F0B78"/>
    <w:rsid w:val="72651B3D"/>
    <w:rsid w:val="746F6C10"/>
    <w:rsid w:val="774E7649"/>
    <w:rsid w:val="778D1CEB"/>
    <w:rsid w:val="78A82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117"/>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100"/>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64"/>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link w:val="119"/>
    <w:qFormat/>
    <w:uiPriority w:val="0"/>
    <w:pPr>
      <w:keepNext/>
      <w:spacing w:before="240" w:after="60"/>
      <w:outlineLvl w:val="3"/>
    </w:pPr>
    <w:rPr>
      <w:rFonts w:eastAsia="MS Mincho"/>
      <w:b/>
      <w:bCs/>
      <w:sz w:val="28"/>
      <w:szCs w:val="28"/>
    </w:rPr>
  </w:style>
  <w:style w:type="paragraph" w:styleId="7">
    <w:name w:val="heading 5"/>
    <w:basedOn w:val="1"/>
    <w:next w:val="1"/>
    <w:link w:val="120"/>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link w:val="12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link w:val="122"/>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link w:val="123"/>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link w:val="124"/>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styleId="3">
    <w:name w:val="Body Text"/>
    <w:basedOn w:val="1"/>
    <w:link w:val="65"/>
    <w:qFormat/>
    <w:uiPriority w:val="0"/>
    <w:pPr>
      <w:spacing w:after="120"/>
      <w:jc w:val="both"/>
    </w:pPr>
    <w:rPr>
      <w:rFonts w:eastAsia="MS Mincho"/>
    </w:rPr>
  </w:style>
  <w:style w:type="paragraph" w:styleId="12">
    <w:name w:val="List 3"/>
    <w:basedOn w:val="13"/>
    <w:qFormat/>
    <w:uiPriority w:val="0"/>
    <w:pPr>
      <w:numPr>
        <w:numId w:val="0"/>
      </w:numPr>
      <w:tabs>
        <w:tab w:val="left" w:pos="2041"/>
      </w:tabs>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13">
    <w:name w:val="List 2"/>
    <w:basedOn w:val="14"/>
    <w:qFormat/>
    <w:uiPriority w:val="0"/>
    <w:pPr>
      <w:numPr>
        <w:ilvl w:val="0"/>
        <w:numId w:val="1"/>
      </w:numPr>
      <w:spacing w:before="180"/>
    </w:pPr>
    <w:rPr>
      <w:rFonts w:ascii="Arial" w:hAnsi="Arial"/>
      <w:sz w:val="22"/>
      <w:szCs w:val="20"/>
    </w:rPr>
  </w:style>
  <w:style w:type="paragraph" w:styleId="14">
    <w:name w:val="List"/>
    <w:basedOn w:val="1"/>
    <w:qFormat/>
    <w:uiPriority w:val="0"/>
    <w:pPr>
      <w:ind w:left="283" w:hanging="283"/>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21">
    <w:name w:val="toc 1"/>
    <w:basedOn w:val="1"/>
    <w:next w:val="1"/>
    <w:qFormat/>
    <w:uiPriority w:val="39"/>
  </w:style>
  <w:style w:type="paragraph" w:styleId="22">
    <w:name w:val="List Number 2"/>
    <w:basedOn w:val="23"/>
    <w:qFormat/>
    <w:uiPriority w:val="0"/>
    <w:pPr>
      <w:ind w:left="851"/>
    </w:pPr>
  </w:style>
  <w:style w:type="paragraph" w:styleId="23">
    <w:name w:val="List Number"/>
    <w:basedOn w:val="14"/>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overflowPunct w:val="0"/>
      <w:autoSpaceDE w:val="0"/>
      <w:autoSpaceDN w:val="0"/>
      <w:adjustRightInd w:val="0"/>
      <w:spacing w:after="180"/>
      <w:ind w:left="568" w:hanging="284"/>
      <w:textAlignment w:val="baseline"/>
    </w:pPr>
    <w:rPr>
      <w:szCs w:val="20"/>
      <w:lang w:val="en-GB" w:eastAsia="ja-JP"/>
    </w:rPr>
  </w:style>
  <w:style w:type="paragraph" w:styleId="28">
    <w:name w:val="caption"/>
    <w:basedOn w:val="1"/>
    <w:next w:val="1"/>
    <w:link w:val="51"/>
    <w:qFormat/>
    <w:uiPriority w:val="35"/>
    <w:pPr>
      <w:overflowPunct w:val="0"/>
      <w:autoSpaceDE w:val="0"/>
      <w:autoSpaceDN w:val="0"/>
      <w:adjustRightInd w:val="0"/>
      <w:spacing w:before="120" w:after="120"/>
      <w:textAlignment w:val="baseline"/>
    </w:pPr>
    <w:rPr>
      <w:szCs w:val="20"/>
      <w:lang w:val="en-GB"/>
    </w:rPr>
  </w:style>
  <w:style w:type="paragraph" w:styleId="29">
    <w:name w:val="Document Map"/>
    <w:basedOn w:val="1"/>
    <w:link w:val="166"/>
    <w:qFormat/>
    <w:uiPriority w:val="0"/>
    <w:pPr>
      <w:shd w:val="clear" w:color="auto" w:fill="000080"/>
    </w:pPr>
  </w:style>
  <w:style w:type="paragraph" w:styleId="30">
    <w:name w:val="annotation text"/>
    <w:basedOn w:val="1"/>
    <w:link w:val="109"/>
    <w:qFormat/>
    <w:uiPriority w:val="0"/>
  </w:style>
  <w:style w:type="paragraph" w:styleId="31">
    <w:name w:val="List Bullet 5"/>
    <w:basedOn w:val="24"/>
    <w:qFormat/>
    <w:uiPriority w:val="0"/>
    <w:pPr>
      <w:ind w:left="1702"/>
    </w:pPr>
  </w:style>
  <w:style w:type="paragraph" w:styleId="32">
    <w:name w:val="toc 8"/>
    <w:basedOn w:val="21"/>
    <w:next w:val="1"/>
    <w:qFormat/>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33">
    <w:name w:val="Balloon Text"/>
    <w:basedOn w:val="1"/>
    <w:link w:val="165"/>
    <w:semiHidden/>
    <w:qFormat/>
    <w:uiPriority w:val="0"/>
    <w:rPr>
      <w:sz w:val="18"/>
      <w:szCs w:val="18"/>
    </w:rPr>
  </w:style>
  <w:style w:type="paragraph" w:styleId="34">
    <w:name w:val="footer"/>
    <w:basedOn w:val="1"/>
    <w:link w:val="127"/>
    <w:qFormat/>
    <w:uiPriority w:val="0"/>
    <w:pPr>
      <w:tabs>
        <w:tab w:val="center" w:pos="4153"/>
        <w:tab w:val="right" w:pos="8306"/>
      </w:tabs>
      <w:snapToGrid w:val="0"/>
    </w:pPr>
    <w:rPr>
      <w:sz w:val="18"/>
      <w:szCs w:val="18"/>
    </w:rPr>
  </w:style>
  <w:style w:type="paragraph" w:styleId="35">
    <w:name w:val="header"/>
    <w:basedOn w:val="1"/>
    <w:link w:val="71"/>
    <w:qFormat/>
    <w:uiPriority w:val="99"/>
    <w:pPr>
      <w:tabs>
        <w:tab w:val="center" w:pos="4536"/>
        <w:tab w:val="right" w:pos="9072"/>
      </w:tabs>
    </w:pPr>
    <w:rPr>
      <w:rFonts w:ascii="Arial" w:hAnsi="Arial" w:eastAsia="MS Mincho"/>
      <w:b/>
    </w:rPr>
  </w:style>
  <w:style w:type="paragraph" w:styleId="36">
    <w:name w:val="footnote text"/>
    <w:basedOn w:val="1"/>
    <w:link w:val="116"/>
    <w:qFormat/>
    <w:uiPriority w:val="0"/>
    <w:pPr>
      <w:keepLines/>
      <w:overflowPunct w:val="0"/>
      <w:autoSpaceDE w:val="0"/>
      <w:autoSpaceDN w:val="0"/>
      <w:adjustRightInd w:val="0"/>
      <w:ind w:left="454" w:hanging="454"/>
      <w:textAlignment w:val="baseline"/>
    </w:pPr>
    <w:rPr>
      <w:sz w:val="16"/>
      <w:szCs w:val="20"/>
      <w:lang w:val="zh-CN" w:eastAsia="zh-CN"/>
    </w:rPr>
  </w:style>
  <w:style w:type="paragraph" w:styleId="37">
    <w:name w:val="List 5"/>
    <w:basedOn w:val="38"/>
    <w:qFormat/>
    <w:uiPriority w:val="0"/>
    <w:pPr>
      <w:tabs>
        <w:tab w:val="left" w:pos="2041"/>
      </w:tabs>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rPr>
      <w:rFonts w:eastAsia="Times New Roman"/>
      <w:lang w:val="en-GB" w:eastAsia="ja-JP"/>
    </w:rPr>
  </w:style>
  <w:style w:type="paragraph" w:styleId="40">
    <w:name w:val="Normal (Web)"/>
    <w:basedOn w:val="1"/>
    <w:unhideWhenUsed/>
    <w:qFormat/>
    <w:uiPriority w:val="99"/>
    <w:pPr>
      <w:spacing w:before="100" w:beforeAutospacing="1" w:after="100" w:afterAutospacing="1"/>
    </w:pPr>
    <w:rPr>
      <w:rFonts w:ascii="宋体" w:hAnsi="宋体" w:eastAsia="宋体" w:cs="宋体"/>
      <w:sz w:val="24"/>
      <w:lang w:eastAsia="zh-CN"/>
    </w:rPr>
  </w:style>
  <w:style w:type="paragraph" w:styleId="41">
    <w:name w:val="index 1"/>
    <w:basedOn w:val="1"/>
    <w:next w:val="1"/>
    <w:qFormat/>
    <w:uiPriority w:val="0"/>
    <w:pPr>
      <w:keepLines/>
      <w:overflowPunct w:val="0"/>
      <w:autoSpaceDE w:val="0"/>
      <w:autoSpaceDN w:val="0"/>
      <w:adjustRightInd w:val="0"/>
      <w:textAlignment w:val="baseline"/>
    </w:pPr>
    <w:rPr>
      <w:szCs w:val="20"/>
      <w:lang w:val="en-GB" w:eastAsia="ja-JP"/>
    </w:rPr>
  </w:style>
  <w:style w:type="paragraph" w:styleId="42">
    <w:name w:val="index 2"/>
    <w:basedOn w:val="41"/>
    <w:next w:val="1"/>
    <w:qFormat/>
    <w:uiPriority w:val="0"/>
    <w:pPr>
      <w:ind w:left="284"/>
    </w:pPr>
  </w:style>
  <w:style w:type="paragraph" w:styleId="43">
    <w:name w:val="annotation subject"/>
    <w:basedOn w:val="30"/>
    <w:next w:val="30"/>
    <w:link w:val="164"/>
    <w:qFormat/>
    <w:uiPriority w:val="0"/>
    <w:rPr>
      <w:b/>
      <w:bCs/>
    </w:rPr>
  </w:style>
  <w:style w:type="table" w:styleId="45">
    <w:name w:val="Table Grid"/>
    <w:basedOn w:val="44"/>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semiHidden/>
    <w:unhideWhenUsed/>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21"/>
      <w:szCs w:val="21"/>
    </w:rPr>
  </w:style>
  <w:style w:type="character" w:styleId="50">
    <w:name w:val="footnote reference"/>
    <w:qFormat/>
    <w:uiPriority w:val="0"/>
    <w:rPr>
      <w:b/>
      <w:position w:val="6"/>
      <w:sz w:val="16"/>
    </w:rPr>
  </w:style>
  <w:style w:type="character" w:customStyle="1" w:styleId="51">
    <w:name w:val="题注 字符2"/>
    <w:link w:val="28"/>
    <w:qFormat/>
    <w:uiPriority w:val="0"/>
    <w:rPr>
      <w:lang w:val="en-GB" w:eastAsia="en-US" w:bidi="ar-SA"/>
    </w:rPr>
  </w:style>
  <w:style w:type="paragraph" w:customStyle="1" w:styleId="52">
    <w:name w:val="TAC"/>
    <w:basedOn w:val="1"/>
    <w:link w:val="107"/>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53">
    <w:name w:val="TAL"/>
    <w:basedOn w:val="1"/>
    <w:link w:val="130"/>
    <w:qFormat/>
    <w:uiPriority w:val="0"/>
    <w:pPr>
      <w:keepNext/>
      <w:keepLines/>
    </w:pPr>
    <w:rPr>
      <w:rFonts w:ascii="Arial" w:hAnsi="Arial"/>
      <w:sz w:val="18"/>
      <w:szCs w:val="20"/>
      <w:lang w:val="en-GB"/>
    </w:rPr>
  </w:style>
  <w:style w:type="paragraph" w:customStyle="1" w:styleId="54">
    <w:name w:val="TAH"/>
    <w:basedOn w:val="1"/>
    <w:link w:val="110"/>
    <w:qFormat/>
    <w:uiPriority w:val="0"/>
    <w:pPr>
      <w:keepNext/>
      <w:keepLines/>
      <w:jc w:val="center"/>
    </w:pPr>
    <w:rPr>
      <w:rFonts w:ascii="Arial" w:hAnsi="Arial"/>
      <w:b/>
      <w:sz w:val="18"/>
      <w:szCs w:val="20"/>
      <w:lang w:val="en-GB"/>
    </w:rPr>
  </w:style>
  <w:style w:type="paragraph" w:customStyle="1" w:styleId="55">
    <w:name w:val="TH"/>
    <w:basedOn w:val="1"/>
    <w:link w:val="82"/>
    <w:qFormat/>
    <w:uiPriority w:val="0"/>
    <w:pPr>
      <w:keepNext/>
      <w:keepLines/>
      <w:spacing w:before="60" w:after="180"/>
      <w:jc w:val="center"/>
    </w:pPr>
    <w:rPr>
      <w:rFonts w:ascii="Arial" w:hAnsi="Arial"/>
      <w:b/>
      <w:szCs w:val="20"/>
      <w:lang w:val="en-GB"/>
    </w:rPr>
  </w:style>
  <w:style w:type="paragraph" w:customStyle="1" w:styleId="56">
    <w:name w:val="TF"/>
    <w:basedOn w:val="55"/>
    <w:link w:val="115"/>
    <w:qFormat/>
    <w:uiPriority w:val="0"/>
    <w:pPr>
      <w:keepNext w:val="0"/>
      <w:spacing w:before="0" w:after="240"/>
    </w:pPr>
  </w:style>
  <w:style w:type="paragraph" w:customStyle="1" w:styleId="57">
    <w:name w:val="Char Char Char 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58">
    <w:name w:val="Char Char1 Char Char"/>
    <w:basedOn w:val="1"/>
    <w:qFormat/>
    <w:uiPriority w:val="0"/>
    <w:rPr>
      <w:rFonts w:ascii="Times" w:hAnsi="Times"/>
      <w:sz w:val="22"/>
      <w:szCs w:val="20"/>
    </w:rPr>
  </w:style>
  <w:style w:type="paragraph" w:customStyle="1" w:styleId="59">
    <w:name w:val="Char Char Char Char Char Char"/>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0">
    <w:name w:val="Tdoc_Heading_1"/>
    <w:basedOn w:val="2"/>
    <w:next w:val="3"/>
    <w:qFormat/>
    <w:uiPriority w:val="0"/>
    <w:pPr>
      <w:numPr>
        <w:ilvl w:val="0"/>
        <w:numId w:val="3"/>
      </w:numPr>
      <w:spacing w:before="240"/>
      <w:ind w:left="357" w:hanging="357"/>
      <w:jc w:val="both"/>
    </w:pPr>
    <w:rPr>
      <w:rFonts w:eastAsia="Batang" w:cs="Times New Roman"/>
      <w:bCs w:val="0"/>
      <w:kern w:val="28"/>
      <w:sz w:val="24"/>
      <w:szCs w:val="20"/>
      <w:lang w:eastAsia="en-US"/>
    </w:rPr>
  </w:style>
  <w:style w:type="paragraph" w:customStyle="1" w:styleId="61">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62">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3">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64">
    <w:name w:val="标题 3 字符1"/>
    <w:link w:val="5"/>
    <w:qFormat/>
    <w:uiPriority w:val="0"/>
    <w:rPr>
      <w:rFonts w:ascii="Arial" w:hAnsi="Arial" w:eastAsia="MS Mincho" w:cs="Arial"/>
      <w:b/>
      <w:bCs/>
      <w:sz w:val="26"/>
      <w:szCs w:val="26"/>
      <w:lang w:eastAsia="en-US"/>
    </w:rPr>
  </w:style>
  <w:style w:type="character" w:customStyle="1" w:styleId="65">
    <w:name w:val="正文文本 字符1"/>
    <w:link w:val="3"/>
    <w:qFormat/>
    <w:uiPriority w:val="0"/>
    <w:rPr>
      <w:rFonts w:eastAsia="MS Mincho"/>
      <w:szCs w:val="24"/>
      <w:lang w:val="en-US" w:eastAsia="en-US" w:bidi="ar-SA"/>
    </w:rPr>
  </w:style>
  <w:style w:type="paragraph" w:customStyle="1" w:styleId="66">
    <w:name w:val="Char Char Char Char Char Char 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7">
    <w:name w:val="Char Char Char Char Char Char Char Char Char Char"/>
    <w:basedOn w:val="29"/>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68">
    <w:name w:val="LGTdoc_본문"/>
    <w:basedOn w:val="1"/>
    <w:link w:val="69"/>
    <w:qFormat/>
    <w:uiPriority w:val="0"/>
    <w:pPr>
      <w:widowControl w:val="0"/>
      <w:autoSpaceDE w:val="0"/>
      <w:autoSpaceDN w:val="0"/>
      <w:adjustRightInd w:val="0"/>
      <w:snapToGrid w:val="0"/>
      <w:spacing w:after="120" w:afterLines="50" w:line="264" w:lineRule="auto"/>
      <w:jc w:val="both"/>
    </w:pPr>
    <w:rPr>
      <w:rFonts w:eastAsia="Batang"/>
      <w:kern w:val="2"/>
      <w:sz w:val="22"/>
      <w:lang w:val="en-GB" w:eastAsia="ko-KR"/>
    </w:rPr>
  </w:style>
  <w:style w:type="character" w:customStyle="1" w:styleId="69">
    <w:name w:val="LGTdoc_본문 Char"/>
    <w:link w:val="68"/>
    <w:qFormat/>
    <w:uiPriority w:val="0"/>
    <w:rPr>
      <w:rFonts w:eastAsia="Batang"/>
      <w:kern w:val="2"/>
      <w:sz w:val="22"/>
      <w:szCs w:val="24"/>
      <w:lang w:val="en-GB" w:eastAsia="ko-KR" w:bidi="ar-SA"/>
    </w:rPr>
  </w:style>
  <w:style w:type="paragraph" w:customStyle="1" w:styleId="70">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71">
    <w:name w:val="页眉 字符2"/>
    <w:link w:val="35"/>
    <w:qFormat/>
    <w:uiPriority w:val="0"/>
    <w:rPr>
      <w:rFonts w:ascii="Arial" w:hAnsi="Arial" w:eastAsia="MS Mincho"/>
      <w:b/>
      <w:szCs w:val="24"/>
      <w:lang w:val="en-US" w:eastAsia="en-US" w:bidi="ar-SA"/>
    </w:rPr>
  </w:style>
  <w:style w:type="character" w:customStyle="1" w:styleId="72">
    <w:name w:val="bt Char"/>
    <w:qFormat/>
    <w:uiPriority w:val="0"/>
    <w:rPr>
      <w:rFonts w:ascii="Arial" w:hAnsi="Arial" w:eastAsia="MS Mincho" w:cs="Arial"/>
      <w:color w:val="0000FF"/>
      <w:kern w:val="2"/>
      <w:szCs w:val="24"/>
      <w:lang w:val="en-US" w:eastAsia="en-US" w:bidi="ar-SA"/>
    </w:rPr>
  </w:style>
  <w:style w:type="paragraph" w:customStyle="1" w:styleId="73">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74">
    <w:name w:val="apple-converted-space"/>
    <w:basedOn w:val="46"/>
    <w:qFormat/>
    <w:uiPriority w:val="0"/>
  </w:style>
  <w:style w:type="paragraph" w:customStyle="1" w:styleId="75">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76">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77">
    <w:name w:val="List Paragraph"/>
    <w:basedOn w:val="1"/>
    <w:link w:val="87"/>
    <w:qFormat/>
    <w:uiPriority w:val="34"/>
    <w:pPr>
      <w:widowControl w:val="0"/>
      <w:ind w:firstLine="420" w:firstLineChars="200"/>
      <w:jc w:val="both"/>
    </w:pPr>
    <w:rPr>
      <w:rFonts w:ascii="Calibri" w:hAnsi="Calibri" w:eastAsia="宋体"/>
      <w:kern w:val="2"/>
      <w:sz w:val="21"/>
      <w:szCs w:val="22"/>
      <w:lang w:eastAsia="zh-CN"/>
    </w:rPr>
  </w:style>
  <w:style w:type="paragraph" w:customStyle="1" w:styleId="78">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79">
    <w:name w:val="B1"/>
    <w:basedOn w:val="14"/>
    <w:link w:val="81"/>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80">
    <w:name w:val="B2"/>
    <w:basedOn w:val="13"/>
    <w:link w:val="97"/>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81">
    <w:name w:val="B1 (文字)"/>
    <w:link w:val="79"/>
    <w:qFormat/>
    <w:uiPriority w:val="0"/>
    <w:rPr>
      <w:rFonts w:eastAsia="Times New Roman"/>
      <w:lang w:val="en-GB" w:eastAsia="en-GB"/>
    </w:rPr>
  </w:style>
  <w:style w:type="character" w:customStyle="1" w:styleId="82">
    <w:name w:val="TH Char"/>
    <w:link w:val="55"/>
    <w:qFormat/>
    <w:uiPriority w:val="0"/>
    <w:rPr>
      <w:rFonts w:ascii="Arial" w:hAnsi="Arial" w:eastAsia="Times New Roman"/>
      <w:b/>
      <w:lang w:val="en-GB" w:eastAsia="en-US"/>
    </w:rPr>
  </w:style>
  <w:style w:type="paragraph" w:customStyle="1" w:styleId="83">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84">
    <w:name w:val="Revision1"/>
    <w:hidden/>
    <w:semiHidden/>
    <w:qFormat/>
    <w:uiPriority w:val="99"/>
    <w:rPr>
      <w:rFonts w:ascii="Times New Roman" w:hAnsi="Times New Roman" w:eastAsia="Times New Roman" w:cs="Times New Roman"/>
      <w:szCs w:val="24"/>
      <w:lang w:val="en-US" w:eastAsia="en-US" w:bidi="ar-SA"/>
    </w:rPr>
  </w:style>
  <w:style w:type="paragraph" w:customStyle="1" w:styleId="85">
    <w:name w:val="Doc-text2"/>
    <w:basedOn w:val="1"/>
    <w:link w:val="86"/>
    <w:qFormat/>
    <w:uiPriority w:val="0"/>
    <w:pPr>
      <w:tabs>
        <w:tab w:val="left" w:pos="1622"/>
      </w:tabs>
      <w:ind w:left="1622" w:hanging="363"/>
    </w:pPr>
    <w:rPr>
      <w:rFonts w:ascii="Arial" w:hAnsi="Arial" w:eastAsia="MS Mincho"/>
      <w:lang w:val="en-GB" w:eastAsia="en-GB"/>
    </w:rPr>
  </w:style>
  <w:style w:type="character" w:customStyle="1" w:styleId="86">
    <w:name w:val="Doc-text2 Char"/>
    <w:link w:val="85"/>
    <w:qFormat/>
    <w:uiPriority w:val="0"/>
    <w:rPr>
      <w:rFonts w:ascii="Arial" w:hAnsi="Arial" w:eastAsia="MS Mincho"/>
      <w:szCs w:val="24"/>
      <w:lang w:val="en-GB" w:eastAsia="en-GB"/>
    </w:rPr>
  </w:style>
  <w:style w:type="character" w:customStyle="1" w:styleId="87">
    <w:name w:val="列表段落 字符1"/>
    <w:link w:val="77"/>
    <w:qFormat/>
    <w:locked/>
    <w:uiPriority w:val="34"/>
    <w:rPr>
      <w:rFonts w:ascii="Calibri" w:hAnsi="Calibri"/>
      <w:kern w:val="2"/>
      <w:sz w:val="21"/>
      <w:szCs w:val="22"/>
    </w:rPr>
  </w:style>
  <w:style w:type="paragraph" w:customStyle="1" w:styleId="88">
    <w:name w:val="插图题注"/>
    <w:basedOn w:val="1"/>
    <w:qFormat/>
    <w:uiPriority w:val="0"/>
    <w:pPr>
      <w:spacing w:after="180"/>
    </w:pPr>
    <w:rPr>
      <w:rFonts w:eastAsia="宋体"/>
      <w:szCs w:val="20"/>
      <w:lang w:val="en-GB"/>
    </w:rPr>
  </w:style>
  <w:style w:type="paragraph" w:customStyle="1" w:styleId="89">
    <w:name w:val="表格题注"/>
    <w:basedOn w:val="1"/>
    <w:qFormat/>
    <w:uiPriority w:val="0"/>
    <w:pPr>
      <w:spacing w:after="180"/>
    </w:pPr>
    <w:rPr>
      <w:rFonts w:eastAsia="宋体"/>
      <w:szCs w:val="20"/>
      <w:lang w:val="en-GB"/>
    </w:rPr>
  </w:style>
  <w:style w:type="character" w:customStyle="1" w:styleId="90">
    <w:name w:val="B1 Char"/>
    <w:qFormat/>
    <w:locked/>
    <w:uiPriority w:val="0"/>
    <w:rPr>
      <w:rFonts w:ascii="Arial" w:hAnsi="Arial" w:eastAsia="宋体" w:cs="Times New Roman"/>
      <w:sz w:val="20"/>
      <w:szCs w:val="20"/>
      <w:lang w:val="en-GB"/>
    </w:rPr>
  </w:style>
  <w:style w:type="paragraph" w:customStyle="1" w:styleId="91">
    <w:name w:val="Reference"/>
    <w:basedOn w:val="1"/>
    <w:qFormat/>
    <w:uiPriority w:val="0"/>
    <w:pPr>
      <w:numPr>
        <w:ilvl w:val="0"/>
        <w:numId w:val="4"/>
      </w:numPr>
      <w:overflowPunct w:val="0"/>
      <w:autoSpaceDE w:val="0"/>
      <w:autoSpaceDN w:val="0"/>
      <w:adjustRightInd w:val="0"/>
      <w:spacing w:after="120"/>
      <w:jc w:val="both"/>
      <w:textAlignment w:val="baseline"/>
    </w:pPr>
    <w:rPr>
      <w:rFonts w:ascii="Arial" w:hAnsi="Arial" w:eastAsia="Malgun Gothic"/>
      <w:szCs w:val="20"/>
      <w:lang w:val="en-GB" w:eastAsia="zh-CN"/>
    </w:rPr>
  </w:style>
  <w:style w:type="paragraph" w:customStyle="1" w:styleId="92">
    <w:name w:val="Doc-title"/>
    <w:basedOn w:val="1"/>
    <w:next w:val="85"/>
    <w:link w:val="93"/>
    <w:qFormat/>
    <w:uiPriority w:val="0"/>
    <w:pPr>
      <w:spacing w:before="60"/>
      <w:ind w:left="1259" w:hanging="1259"/>
    </w:pPr>
    <w:rPr>
      <w:rFonts w:ascii="Arial" w:hAnsi="Arial" w:eastAsia="MS Mincho"/>
      <w:lang w:val="en-GB" w:eastAsia="en-GB"/>
    </w:rPr>
  </w:style>
  <w:style w:type="character" w:customStyle="1" w:styleId="93">
    <w:name w:val="Doc-title Char"/>
    <w:link w:val="92"/>
    <w:qFormat/>
    <w:uiPriority w:val="0"/>
    <w:rPr>
      <w:rFonts w:ascii="Arial" w:hAnsi="Arial" w:eastAsia="MS Mincho"/>
      <w:szCs w:val="24"/>
      <w:lang w:val="en-GB" w:eastAsia="en-GB"/>
    </w:rPr>
  </w:style>
  <w:style w:type="paragraph" w:customStyle="1" w:styleId="94">
    <w:name w:val="PL"/>
    <w:link w:val="95"/>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5">
    <w:name w:val="PL Char"/>
    <w:link w:val="94"/>
    <w:qFormat/>
    <w:uiPriority w:val="0"/>
    <w:rPr>
      <w:rFonts w:ascii="Courier New" w:hAnsi="Courier New" w:eastAsia="Times New Roman"/>
      <w:sz w:val="16"/>
      <w:shd w:val="clear" w:color="auto" w:fill="E6E6E6"/>
      <w:lang w:val="en-GB" w:eastAsia="en-GB"/>
    </w:rPr>
  </w:style>
  <w:style w:type="character" w:customStyle="1" w:styleId="96">
    <w:name w:val="B1 Char1"/>
    <w:qFormat/>
    <w:locked/>
    <w:uiPriority w:val="0"/>
    <w:rPr>
      <w:rFonts w:eastAsia="Times New Roman"/>
      <w:lang w:val="zh-CN" w:eastAsia="zh-CN"/>
    </w:rPr>
  </w:style>
  <w:style w:type="character" w:customStyle="1" w:styleId="97">
    <w:name w:val="B2 Char"/>
    <w:link w:val="80"/>
    <w:qFormat/>
    <w:locked/>
    <w:uiPriority w:val="0"/>
    <w:rPr>
      <w:rFonts w:eastAsia="Times New Roman"/>
      <w:lang w:val="en-GB" w:eastAsia="en-GB"/>
    </w:rPr>
  </w:style>
  <w:style w:type="paragraph" w:customStyle="1" w:styleId="98">
    <w:name w:val="Proposal"/>
    <w:basedOn w:val="1"/>
    <w:qFormat/>
    <w:uiPriority w:val="0"/>
    <w:pPr>
      <w:tabs>
        <w:tab w:val="left" w:pos="1304"/>
        <w:tab w:val="left" w:pos="1701"/>
      </w:tabs>
      <w:overflowPunct w:val="0"/>
      <w:autoSpaceDE w:val="0"/>
      <w:autoSpaceDN w:val="0"/>
      <w:adjustRightInd w:val="0"/>
      <w:spacing w:after="120"/>
      <w:jc w:val="both"/>
      <w:textAlignment w:val="baseline"/>
    </w:pPr>
    <w:rPr>
      <w:rFonts w:ascii="Arial" w:hAnsi="Arial" w:eastAsia="等线"/>
      <w:b/>
      <w:bCs/>
      <w:szCs w:val="20"/>
      <w:lang w:val="en-GB" w:eastAsia="zh-CN"/>
    </w:rPr>
  </w:style>
  <w:style w:type="character" w:customStyle="1" w:styleId="99">
    <w:name w:val="题注 字符1"/>
    <w:qFormat/>
    <w:uiPriority w:val="0"/>
    <w:rPr>
      <w:lang w:val="en-GB" w:eastAsia="en-US" w:bidi="ar-SA"/>
    </w:rPr>
  </w:style>
  <w:style w:type="character" w:customStyle="1" w:styleId="100">
    <w:name w:val="标题 2 字符"/>
    <w:link w:val="4"/>
    <w:qFormat/>
    <w:uiPriority w:val="0"/>
    <w:rPr>
      <w:rFonts w:ascii="Arial" w:hAnsi="Arial" w:eastAsia="MS Mincho" w:cs="Arial"/>
      <w:b/>
      <w:bCs/>
      <w:iCs/>
      <w:szCs w:val="28"/>
    </w:rPr>
  </w:style>
  <w:style w:type="paragraph" w:customStyle="1" w:styleId="101">
    <w:name w:val="CR Cover Page"/>
    <w:link w:val="163"/>
    <w:qFormat/>
    <w:uiPriority w:val="0"/>
    <w:pPr>
      <w:spacing w:after="120"/>
    </w:pPr>
    <w:rPr>
      <w:rFonts w:ascii="Arial" w:hAnsi="Arial" w:eastAsia="宋体" w:cs="Times New Roman"/>
      <w:lang w:val="en-GB" w:eastAsia="en-US" w:bidi="ar-SA"/>
    </w:rPr>
  </w:style>
  <w:style w:type="paragraph" w:customStyle="1" w:styleId="102">
    <w:name w:val="Agreement"/>
    <w:basedOn w:val="1"/>
    <w:next w:val="85"/>
    <w:qFormat/>
    <w:uiPriority w:val="0"/>
    <w:pPr>
      <w:numPr>
        <w:ilvl w:val="0"/>
        <w:numId w:val="5"/>
      </w:numPr>
      <w:spacing w:before="60"/>
    </w:pPr>
    <w:rPr>
      <w:rFonts w:ascii="Arial" w:hAnsi="Arial" w:eastAsia="MS Mincho"/>
      <w:b/>
      <w:lang w:val="en-GB" w:eastAsia="en-GB"/>
    </w:rPr>
  </w:style>
  <w:style w:type="paragraph" w:customStyle="1" w:styleId="103">
    <w:name w:val="NO"/>
    <w:basedOn w:val="1"/>
    <w:link w:val="104"/>
    <w:qFormat/>
    <w:uiPriority w:val="0"/>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104">
    <w:name w:val="NO Char"/>
    <w:link w:val="103"/>
    <w:qFormat/>
    <w:uiPriority w:val="0"/>
    <w:rPr>
      <w:rFonts w:eastAsia="Times New Roman"/>
      <w:lang w:val="zh-CN" w:eastAsia="zh-CN"/>
    </w:rPr>
  </w:style>
  <w:style w:type="paragraph" w:customStyle="1" w:styleId="105">
    <w:name w:val="Bold Comments"/>
    <w:basedOn w:val="1"/>
    <w:link w:val="106"/>
    <w:qFormat/>
    <w:uiPriority w:val="0"/>
    <w:pPr>
      <w:spacing w:before="240" w:after="60"/>
      <w:outlineLvl w:val="8"/>
    </w:pPr>
    <w:rPr>
      <w:rFonts w:ascii="Arial" w:hAnsi="Arial" w:eastAsia="MS Mincho"/>
      <w:b/>
      <w:lang w:val="en-GB" w:eastAsia="en-GB"/>
    </w:rPr>
  </w:style>
  <w:style w:type="character" w:customStyle="1" w:styleId="106">
    <w:name w:val="Bold Comments Char"/>
    <w:link w:val="105"/>
    <w:qFormat/>
    <w:uiPriority w:val="0"/>
    <w:rPr>
      <w:rFonts w:ascii="Arial" w:hAnsi="Arial" w:eastAsia="MS Mincho"/>
      <w:b/>
      <w:szCs w:val="24"/>
      <w:lang w:val="en-GB" w:eastAsia="en-GB"/>
    </w:rPr>
  </w:style>
  <w:style w:type="character" w:customStyle="1" w:styleId="107">
    <w:name w:val="TAC Char"/>
    <w:link w:val="52"/>
    <w:qFormat/>
    <w:locked/>
    <w:uiPriority w:val="0"/>
    <w:rPr>
      <w:rFonts w:ascii="Arial" w:hAnsi="Arial" w:eastAsia="Times New Roman"/>
      <w:sz w:val="18"/>
      <w:lang w:val="en-GB" w:eastAsia="en-GB"/>
    </w:rPr>
  </w:style>
  <w:style w:type="paragraph" w:customStyle="1" w:styleId="108">
    <w:name w:val="样式1"/>
    <w:basedOn w:val="3"/>
    <w:qFormat/>
    <w:uiPriority w:val="0"/>
    <w:pPr>
      <w:jc w:val="center"/>
    </w:pPr>
  </w:style>
  <w:style w:type="character" w:customStyle="1" w:styleId="109">
    <w:name w:val="批注文字 字符"/>
    <w:link w:val="30"/>
    <w:qFormat/>
    <w:uiPriority w:val="99"/>
    <w:rPr>
      <w:rFonts w:eastAsia="Times New Roman"/>
      <w:szCs w:val="24"/>
      <w:lang w:eastAsia="en-US"/>
    </w:rPr>
  </w:style>
  <w:style w:type="character" w:customStyle="1" w:styleId="110">
    <w:name w:val="TAH Car"/>
    <w:link w:val="54"/>
    <w:qFormat/>
    <w:uiPriority w:val="0"/>
    <w:rPr>
      <w:rFonts w:ascii="Arial" w:hAnsi="Arial" w:eastAsia="Times New Roman"/>
      <w:b/>
      <w:sz w:val="18"/>
      <w:lang w:val="en-GB" w:eastAsia="en-US"/>
    </w:rPr>
  </w:style>
  <w:style w:type="character" w:customStyle="1" w:styleId="111">
    <w:name w:val="页眉 字符1"/>
    <w:semiHidden/>
    <w:qFormat/>
    <w:locked/>
    <w:uiPriority w:val="99"/>
    <w:rPr>
      <w:rFonts w:ascii="Arial" w:hAnsi="Arial" w:eastAsia="MS Mincho" w:cs="Arial"/>
      <w:b/>
      <w:szCs w:val="24"/>
      <w:lang w:eastAsia="en-US"/>
    </w:rPr>
  </w:style>
  <w:style w:type="character" w:customStyle="1" w:styleId="112">
    <w:name w:val="正文文本 字符"/>
    <w:qFormat/>
    <w:uiPriority w:val="0"/>
    <w:rPr>
      <w:rFonts w:eastAsia="MS Mincho"/>
      <w:szCs w:val="24"/>
      <w:lang w:eastAsia="en-US"/>
    </w:rPr>
  </w:style>
  <w:style w:type="character" w:customStyle="1" w:styleId="113">
    <w:name w:val="列表段落 字符"/>
    <w:qFormat/>
    <w:uiPriority w:val="34"/>
    <w:rPr>
      <w:rFonts w:eastAsia="MS Mincho"/>
      <w:lang w:val="en-GB" w:eastAsia="en-US"/>
    </w:rPr>
  </w:style>
  <w:style w:type="character" w:customStyle="1" w:styleId="114">
    <w:name w:val="页眉 字符"/>
    <w:qFormat/>
    <w:uiPriority w:val="99"/>
    <w:rPr>
      <w:rFonts w:ascii="Arial" w:hAnsi="Arial" w:eastAsia="MS Mincho"/>
      <w:b/>
      <w:szCs w:val="24"/>
      <w:lang w:eastAsia="en-US"/>
    </w:rPr>
  </w:style>
  <w:style w:type="character" w:customStyle="1" w:styleId="115">
    <w:name w:val="TF Char"/>
    <w:link w:val="56"/>
    <w:qFormat/>
    <w:locked/>
    <w:uiPriority w:val="0"/>
    <w:rPr>
      <w:rFonts w:ascii="Arial" w:hAnsi="Arial" w:eastAsia="Times New Roman"/>
      <w:b/>
      <w:lang w:val="en-GB" w:eastAsia="en-US"/>
    </w:rPr>
  </w:style>
  <w:style w:type="character" w:customStyle="1" w:styleId="116">
    <w:name w:val="脚注文本 字符"/>
    <w:link w:val="36"/>
    <w:qFormat/>
    <w:uiPriority w:val="0"/>
    <w:rPr>
      <w:rFonts w:eastAsia="Times New Roman"/>
      <w:sz w:val="16"/>
      <w:lang w:val="zh-CN"/>
    </w:rPr>
  </w:style>
  <w:style w:type="character" w:customStyle="1" w:styleId="117">
    <w:name w:val="标题 1 字符"/>
    <w:link w:val="2"/>
    <w:qFormat/>
    <w:uiPriority w:val="0"/>
    <w:rPr>
      <w:rFonts w:ascii="Arial" w:hAnsi="Arial" w:cs="Arial"/>
      <w:b/>
      <w:bCs/>
      <w:kern w:val="32"/>
      <w:sz w:val="28"/>
      <w:szCs w:val="32"/>
    </w:rPr>
  </w:style>
  <w:style w:type="character" w:customStyle="1" w:styleId="118">
    <w:name w:val="标题 3 字符"/>
    <w:qFormat/>
    <w:uiPriority w:val="0"/>
    <w:rPr>
      <w:rFonts w:ascii="Arial" w:hAnsi="Arial" w:eastAsia="Times New Roman"/>
      <w:sz w:val="28"/>
    </w:rPr>
  </w:style>
  <w:style w:type="character" w:customStyle="1" w:styleId="119">
    <w:name w:val="标题 4 字符"/>
    <w:link w:val="6"/>
    <w:qFormat/>
    <w:locked/>
    <w:uiPriority w:val="0"/>
    <w:rPr>
      <w:rFonts w:eastAsia="MS Mincho"/>
      <w:b/>
      <w:bCs/>
      <w:sz w:val="28"/>
      <w:szCs w:val="28"/>
      <w:lang w:eastAsia="en-US"/>
    </w:rPr>
  </w:style>
  <w:style w:type="character" w:customStyle="1" w:styleId="120">
    <w:name w:val="标题 5 字符"/>
    <w:link w:val="7"/>
    <w:qFormat/>
    <w:uiPriority w:val="0"/>
    <w:rPr>
      <w:rFonts w:eastAsia="Times New Roman"/>
      <w:b/>
      <w:bCs/>
      <w:sz w:val="28"/>
      <w:szCs w:val="28"/>
      <w:lang w:eastAsia="en-US"/>
    </w:rPr>
  </w:style>
  <w:style w:type="character" w:customStyle="1" w:styleId="121">
    <w:name w:val="标题 6 字符"/>
    <w:link w:val="8"/>
    <w:qFormat/>
    <w:uiPriority w:val="0"/>
    <w:rPr>
      <w:rFonts w:ascii="Arial" w:hAnsi="Arial" w:eastAsia="黑体"/>
      <w:b/>
      <w:bCs/>
      <w:sz w:val="24"/>
      <w:szCs w:val="24"/>
      <w:lang w:eastAsia="en-US"/>
    </w:rPr>
  </w:style>
  <w:style w:type="character" w:customStyle="1" w:styleId="122">
    <w:name w:val="标题 7 字符"/>
    <w:link w:val="9"/>
    <w:qFormat/>
    <w:uiPriority w:val="0"/>
    <w:rPr>
      <w:rFonts w:eastAsia="Times New Roman"/>
      <w:b/>
      <w:bCs/>
      <w:sz w:val="24"/>
      <w:szCs w:val="24"/>
      <w:lang w:eastAsia="en-US"/>
    </w:rPr>
  </w:style>
  <w:style w:type="character" w:customStyle="1" w:styleId="123">
    <w:name w:val="标题 8 字符"/>
    <w:link w:val="10"/>
    <w:qFormat/>
    <w:uiPriority w:val="0"/>
    <w:rPr>
      <w:rFonts w:ascii="Arial" w:hAnsi="Arial" w:eastAsia="黑体"/>
      <w:sz w:val="24"/>
      <w:szCs w:val="24"/>
      <w:lang w:eastAsia="en-US"/>
    </w:rPr>
  </w:style>
  <w:style w:type="character" w:customStyle="1" w:styleId="124">
    <w:name w:val="标题 9 字符"/>
    <w:link w:val="11"/>
    <w:qFormat/>
    <w:uiPriority w:val="0"/>
    <w:rPr>
      <w:rFonts w:ascii="Arial" w:hAnsi="Arial" w:eastAsia="黑体"/>
      <w:sz w:val="21"/>
      <w:szCs w:val="21"/>
      <w:lang w:eastAsia="en-US"/>
    </w:rPr>
  </w:style>
  <w:style w:type="character" w:customStyle="1" w:styleId="125">
    <w:name w:val="ZGSM"/>
    <w:qFormat/>
    <w:uiPriority w:val="0"/>
  </w:style>
  <w:style w:type="paragraph" w:customStyle="1" w:styleId="12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127">
    <w:name w:val="页脚 字符"/>
    <w:link w:val="34"/>
    <w:qFormat/>
    <w:uiPriority w:val="0"/>
    <w:rPr>
      <w:rFonts w:eastAsia="Times New Roman"/>
      <w:sz w:val="18"/>
      <w:szCs w:val="18"/>
      <w:lang w:eastAsia="en-US"/>
    </w:rPr>
  </w:style>
  <w:style w:type="paragraph" w:customStyle="1" w:styleId="128">
    <w:name w:val="TT"/>
    <w:basedOn w:val="2"/>
    <w:next w:val="1"/>
    <w:qFormat/>
    <w:uiPriority w:val="0"/>
    <w:pPr>
      <w:keepLines/>
      <w:pBdr>
        <w:top w:val="single" w:color="auto" w:sz="12" w:space="3"/>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129">
    <w:name w:val="TAR"/>
    <w:basedOn w:val="53"/>
    <w:qFormat/>
    <w:uiPriority w:val="0"/>
    <w:pPr>
      <w:overflowPunct w:val="0"/>
      <w:autoSpaceDE w:val="0"/>
      <w:autoSpaceDN w:val="0"/>
      <w:adjustRightInd w:val="0"/>
      <w:jc w:val="right"/>
      <w:textAlignment w:val="baseline"/>
    </w:pPr>
    <w:rPr>
      <w:lang w:val="zh-CN" w:eastAsia="zh-CN"/>
    </w:rPr>
  </w:style>
  <w:style w:type="character" w:customStyle="1" w:styleId="130">
    <w:name w:val="TAL Car"/>
    <w:link w:val="53"/>
    <w:qFormat/>
    <w:uiPriority w:val="0"/>
    <w:rPr>
      <w:rFonts w:ascii="Arial" w:hAnsi="Arial" w:eastAsia="Times New Roman"/>
      <w:sz w:val="18"/>
      <w:lang w:val="en-GB" w:eastAsia="en-US"/>
    </w:rPr>
  </w:style>
  <w:style w:type="paragraph" w:customStyle="1" w:styleId="13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132">
    <w:name w:val="EX"/>
    <w:basedOn w:val="1"/>
    <w:qFormat/>
    <w:uiPriority w:val="0"/>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133">
    <w:name w:val="FP"/>
    <w:basedOn w:val="1"/>
    <w:qFormat/>
    <w:uiPriority w:val="0"/>
    <w:pPr>
      <w:overflowPunct w:val="0"/>
      <w:autoSpaceDE w:val="0"/>
      <w:autoSpaceDN w:val="0"/>
      <w:adjustRightInd w:val="0"/>
      <w:textAlignment w:val="baseline"/>
    </w:pPr>
    <w:rPr>
      <w:szCs w:val="20"/>
      <w:lang w:val="en-GB" w:eastAsia="ja-JP"/>
    </w:rPr>
  </w:style>
  <w:style w:type="paragraph" w:customStyle="1" w:styleId="134">
    <w:name w:val="EW"/>
    <w:basedOn w:val="132"/>
    <w:qFormat/>
    <w:uiPriority w:val="0"/>
    <w:pPr>
      <w:spacing w:after="0"/>
    </w:pPr>
  </w:style>
  <w:style w:type="paragraph" w:customStyle="1" w:styleId="135">
    <w:name w:val="Editor's Note"/>
    <w:basedOn w:val="103"/>
    <w:link w:val="136"/>
    <w:qFormat/>
    <w:uiPriority w:val="0"/>
    <w:rPr>
      <w:color w:val="FF0000"/>
    </w:rPr>
  </w:style>
  <w:style w:type="character" w:customStyle="1" w:styleId="136">
    <w:name w:val="Editor's Note Char"/>
    <w:link w:val="135"/>
    <w:qFormat/>
    <w:uiPriority w:val="0"/>
    <w:rPr>
      <w:rFonts w:eastAsia="Times New Roman"/>
      <w:color w:val="FF0000"/>
      <w:lang w:val="zh-CN"/>
    </w:rPr>
  </w:style>
  <w:style w:type="paragraph" w:customStyle="1" w:styleId="13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3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3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14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1">
    <w:name w:val="TAN"/>
    <w:basedOn w:val="53"/>
    <w:qFormat/>
    <w:uiPriority w:val="0"/>
    <w:pPr>
      <w:overflowPunct w:val="0"/>
      <w:autoSpaceDE w:val="0"/>
      <w:autoSpaceDN w:val="0"/>
      <w:adjustRightInd w:val="0"/>
      <w:ind w:left="851" w:hanging="851"/>
      <w:textAlignment w:val="baseline"/>
    </w:pPr>
    <w:rPr>
      <w:lang w:val="zh-CN" w:eastAsia="zh-CN"/>
    </w:rPr>
  </w:style>
  <w:style w:type="paragraph" w:customStyle="1" w:styleId="14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14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44">
    <w:name w:val="B3"/>
    <w:basedOn w:val="12"/>
    <w:link w:val="145"/>
    <w:qFormat/>
    <w:uiPriority w:val="0"/>
    <w:rPr>
      <w:lang w:val="zh-CN" w:eastAsia="zh-CN"/>
    </w:rPr>
  </w:style>
  <w:style w:type="character" w:customStyle="1" w:styleId="145">
    <w:name w:val="B3 Char2"/>
    <w:link w:val="144"/>
    <w:qFormat/>
    <w:uiPriority w:val="0"/>
    <w:rPr>
      <w:rFonts w:eastAsia="Times New Roman"/>
      <w:lang w:val="zh-CN"/>
    </w:rPr>
  </w:style>
  <w:style w:type="paragraph" w:customStyle="1" w:styleId="146">
    <w:name w:val="B4"/>
    <w:basedOn w:val="38"/>
    <w:link w:val="147"/>
    <w:qFormat/>
    <w:uiPriority w:val="0"/>
    <w:rPr>
      <w:lang w:val="zh-CN" w:eastAsia="zh-CN"/>
    </w:rPr>
  </w:style>
  <w:style w:type="character" w:customStyle="1" w:styleId="147">
    <w:name w:val="B4 Char"/>
    <w:link w:val="146"/>
    <w:qFormat/>
    <w:uiPriority w:val="0"/>
    <w:rPr>
      <w:rFonts w:eastAsia="Times New Roman"/>
      <w:lang w:val="zh-CN"/>
    </w:rPr>
  </w:style>
  <w:style w:type="paragraph" w:customStyle="1" w:styleId="148">
    <w:name w:val="B5"/>
    <w:basedOn w:val="37"/>
    <w:link w:val="149"/>
    <w:qFormat/>
    <w:uiPriority w:val="0"/>
    <w:rPr>
      <w:lang w:val="zh-CN" w:eastAsia="zh-CN"/>
    </w:rPr>
  </w:style>
  <w:style w:type="character" w:customStyle="1" w:styleId="149">
    <w:name w:val="B5 Char"/>
    <w:link w:val="148"/>
    <w:qFormat/>
    <w:uiPriority w:val="0"/>
    <w:rPr>
      <w:rFonts w:eastAsia="Times New Roman"/>
      <w:lang w:val="zh-CN"/>
    </w:rPr>
  </w:style>
  <w:style w:type="paragraph" w:customStyle="1" w:styleId="150">
    <w:name w:val="B6"/>
    <w:basedOn w:val="148"/>
    <w:link w:val="151"/>
    <w:qFormat/>
    <w:uiPriority w:val="0"/>
    <w:pPr>
      <w:ind w:left="1985"/>
    </w:pPr>
    <w:rPr>
      <w:lang w:eastAsia="ja-JP"/>
    </w:rPr>
  </w:style>
  <w:style w:type="character" w:customStyle="1" w:styleId="151">
    <w:name w:val="B6 Char"/>
    <w:link w:val="150"/>
    <w:qFormat/>
    <w:uiPriority w:val="0"/>
    <w:rPr>
      <w:rFonts w:eastAsia="Times New Roman"/>
      <w:lang w:val="zh-CN" w:eastAsia="ja-JP"/>
    </w:rPr>
  </w:style>
  <w:style w:type="paragraph" w:customStyle="1" w:styleId="152">
    <w:name w:val="B7"/>
    <w:basedOn w:val="150"/>
    <w:link w:val="153"/>
    <w:qFormat/>
    <w:uiPriority w:val="0"/>
    <w:pPr>
      <w:ind w:left="2269"/>
    </w:pPr>
  </w:style>
  <w:style w:type="character" w:customStyle="1" w:styleId="153">
    <w:name w:val="B7 Char"/>
    <w:link w:val="152"/>
    <w:qFormat/>
    <w:uiPriority w:val="0"/>
    <w:rPr>
      <w:rFonts w:eastAsia="Times New Roman"/>
      <w:lang w:val="zh-CN" w:eastAsia="ja-JP"/>
    </w:rPr>
  </w:style>
  <w:style w:type="paragraph" w:customStyle="1" w:styleId="154">
    <w:name w:val="修订1"/>
    <w:hidden/>
    <w:semiHidden/>
    <w:qFormat/>
    <w:uiPriority w:val="99"/>
    <w:rPr>
      <w:rFonts w:ascii="Times New Roman" w:hAnsi="Times New Roman" w:eastAsia="Batang" w:cs="Times New Roman"/>
      <w:lang w:val="en-GB" w:eastAsia="en-US" w:bidi="ar-SA"/>
    </w:rPr>
  </w:style>
  <w:style w:type="paragraph" w:customStyle="1" w:styleId="155">
    <w:name w:val="B8"/>
    <w:basedOn w:val="152"/>
    <w:qFormat/>
    <w:uiPriority w:val="0"/>
    <w:pPr>
      <w:ind w:left="2552"/>
    </w:pPr>
  </w:style>
  <w:style w:type="paragraph" w:customStyle="1" w:styleId="156">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57">
    <w:name w:val="NW"/>
    <w:basedOn w:val="103"/>
    <w:qFormat/>
    <w:uiPriority w:val="0"/>
    <w:pPr>
      <w:spacing w:after="0"/>
    </w:pPr>
  </w:style>
  <w:style w:type="paragraph" w:customStyle="1" w:styleId="158">
    <w:name w:val="NF"/>
    <w:basedOn w:val="103"/>
    <w:qFormat/>
    <w:uiPriority w:val="0"/>
    <w:pPr>
      <w:keepNext/>
      <w:spacing w:after="0"/>
    </w:pPr>
    <w:rPr>
      <w:rFonts w:ascii="Arial" w:hAnsi="Arial"/>
      <w:sz w:val="18"/>
    </w:rPr>
  </w:style>
  <w:style w:type="paragraph" w:customStyle="1" w:styleId="159">
    <w:name w:val="ZTD"/>
    <w:basedOn w:val="138"/>
    <w:qFormat/>
    <w:uiPriority w:val="0"/>
    <w:pPr>
      <w:framePr w:hRule="auto" w:y="852"/>
    </w:pPr>
    <w:rPr>
      <w:i w:val="0"/>
      <w:sz w:val="40"/>
    </w:rPr>
  </w:style>
  <w:style w:type="paragraph" w:customStyle="1" w:styleId="160">
    <w:name w:val="ZV"/>
    <w:basedOn w:val="140"/>
    <w:qFormat/>
    <w:uiPriority w:val="0"/>
    <w:pPr>
      <w:framePr w:y="16161"/>
    </w:pPr>
  </w:style>
  <w:style w:type="paragraph" w:customStyle="1" w:styleId="161">
    <w:name w:val="B9"/>
    <w:basedOn w:val="155"/>
    <w:qFormat/>
    <w:uiPriority w:val="0"/>
    <w:pPr>
      <w:ind w:left="2836"/>
    </w:pPr>
  </w:style>
  <w:style w:type="paragraph" w:customStyle="1" w:styleId="16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 w:type="character" w:customStyle="1" w:styleId="163">
    <w:name w:val="CR Cover Page Zchn"/>
    <w:link w:val="101"/>
    <w:qFormat/>
    <w:uiPriority w:val="0"/>
    <w:rPr>
      <w:rFonts w:ascii="Arial" w:hAnsi="Arial"/>
      <w:lang w:val="en-GB" w:eastAsia="en-US"/>
    </w:rPr>
  </w:style>
  <w:style w:type="character" w:customStyle="1" w:styleId="164">
    <w:name w:val="批注主题 字符"/>
    <w:link w:val="43"/>
    <w:qFormat/>
    <w:uiPriority w:val="0"/>
    <w:rPr>
      <w:rFonts w:eastAsia="Times New Roman"/>
      <w:b/>
      <w:bCs/>
      <w:szCs w:val="24"/>
      <w:lang w:eastAsia="en-US"/>
    </w:rPr>
  </w:style>
  <w:style w:type="character" w:customStyle="1" w:styleId="165">
    <w:name w:val="批注框文本 字符"/>
    <w:link w:val="33"/>
    <w:semiHidden/>
    <w:qFormat/>
    <w:uiPriority w:val="0"/>
    <w:rPr>
      <w:rFonts w:eastAsia="Times New Roman"/>
      <w:sz w:val="18"/>
      <w:szCs w:val="18"/>
      <w:lang w:eastAsia="en-US"/>
    </w:rPr>
  </w:style>
  <w:style w:type="character" w:customStyle="1" w:styleId="166">
    <w:name w:val="文档结构图 字符"/>
    <w:link w:val="29"/>
    <w:qFormat/>
    <w:uiPriority w:val="0"/>
    <w:rPr>
      <w:rFonts w:eastAsia="Times New Roman"/>
      <w:szCs w:val="24"/>
      <w:shd w:val="clear" w:color="auto" w:fill="000080"/>
      <w:lang w:eastAsia="en-US"/>
    </w:rPr>
  </w:style>
  <w:style w:type="paragraph" w:customStyle="1" w:styleId="167">
    <w:name w:val="変更箇所1"/>
    <w:hidden/>
    <w:unhideWhenUsed/>
    <w:qFormat/>
    <w:uiPriority w:val="99"/>
    <w:rPr>
      <w:rFonts w:ascii="Times New Roman" w:hAnsi="Times New Roman" w:eastAsia="Times New Roman" w:cs="Times New Roman"/>
      <w:lang w:val="en-GB" w:eastAsia="ja-JP" w:bidi="ar-SA"/>
    </w:rPr>
  </w:style>
  <w:style w:type="paragraph" w:customStyle="1" w:styleId="168">
    <w:name w:val="3GPP_Header"/>
    <w:basedOn w:val="3"/>
    <w:qFormat/>
    <w:uiPriority w:val="0"/>
    <w:pPr>
      <w:tabs>
        <w:tab w:val="left" w:pos="1701"/>
        <w:tab w:val="right" w:pos="9639"/>
      </w:tabs>
      <w:overflowPunct w:val="0"/>
      <w:autoSpaceDE w:val="0"/>
      <w:autoSpaceDN w:val="0"/>
      <w:adjustRightInd w:val="0"/>
      <w:spacing w:after="240"/>
      <w:textAlignment w:val="baseline"/>
    </w:pPr>
    <w:rPr>
      <w:rFonts w:ascii="Arial" w:hAnsi="Arial" w:eastAsia="Times New Roman"/>
      <w:b/>
      <w:sz w:val="24"/>
      <w:szCs w:val="20"/>
      <w:lang w:val="en-GB" w:eastAsia="zh-CN"/>
    </w:rPr>
  </w:style>
  <w:style w:type="character" w:customStyle="1" w:styleId="169">
    <w:name w:val="标题 2 字符1"/>
    <w:qFormat/>
    <w:uiPriority w:val="0"/>
    <w:rPr>
      <w:rFonts w:ascii="等线 Light" w:hAnsi="等线 Light" w:eastAsia="等线 Light" w:cs="Times New Roman"/>
      <w:b/>
      <w:sz w:val="32"/>
      <w:szCs w:val="32"/>
      <w:lang w:val="en-US" w:eastAsia="en-US"/>
    </w:rPr>
  </w:style>
  <w:style w:type="paragraph" w:customStyle="1" w:styleId="170">
    <w:name w:val="Observation"/>
    <w:basedOn w:val="1"/>
    <w:qFormat/>
    <w:uiPriority w:val="0"/>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171">
    <w:name w:val="Intense Emphasis1"/>
    <w:qFormat/>
    <w:uiPriority w:val="21"/>
    <w:rPr>
      <w:i/>
      <w:iCs/>
      <w:color w:val="4472C4"/>
    </w:rPr>
  </w:style>
  <w:style w:type="character" w:customStyle="1" w:styleId="172">
    <w:name w:val="Unresolved Mention1"/>
    <w:semiHidden/>
    <w:unhideWhenUsed/>
    <w:qFormat/>
    <w:uiPriority w:val="99"/>
    <w:rPr>
      <w:color w:val="605E5C"/>
      <w:shd w:val="clear" w:color="auto" w:fill="E1DFDD"/>
    </w:rPr>
  </w:style>
  <w:style w:type="character" w:customStyle="1" w:styleId="173">
    <w:name w:val="题注 字符"/>
    <w:qFormat/>
    <w:uiPriority w:val="0"/>
    <w:rPr>
      <w:lang w:val="en-GB" w:eastAsia="en-US" w:bidi="ar-SA"/>
    </w:rPr>
  </w:style>
  <w:style w:type="paragraph" w:customStyle="1" w:styleId="174">
    <w:name w:val="Cat-b-Proposal"/>
    <w:basedOn w:val="98"/>
    <w:link w:val="175"/>
    <w:qFormat/>
    <w:uiPriority w:val="0"/>
    <w:pPr>
      <w:overflowPunct/>
      <w:autoSpaceDE/>
      <w:autoSpaceDN/>
      <w:adjustRightInd/>
      <w:spacing w:after="0"/>
      <w:jc w:val="left"/>
      <w:textAlignment w:val="auto"/>
    </w:pPr>
    <w:rPr>
      <w:rFonts w:asciiTheme="minorHAnsi" w:hAnsiTheme="minorHAnsi" w:eastAsiaTheme="minorEastAsia" w:cstheme="minorBidi"/>
      <w:sz w:val="24"/>
      <w:szCs w:val="24"/>
      <w:lang w:val="en-US"/>
    </w:rPr>
  </w:style>
  <w:style w:type="character" w:customStyle="1" w:styleId="175">
    <w:name w:val="Cat-b-Proposal Char"/>
    <w:basedOn w:val="46"/>
    <w:link w:val="174"/>
    <w:qFormat/>
    <w:uiPriority w:val="0"/>
    <w:rPr>
      <w:rFonts w:asciiTheme="minorHAnsi" w:hAnsiTheme="minorHAnsi" w:eastAsiaTheme="minorEastAsia" w:cstheme="minorBidi"/>
      <w:b/>
      <w:bCs/>
      <w:sz w:val="24"/>
      <w:szCs w:val="24"/>
    </w:rPr>
  </w:style>
  <w:style w:type="paragraph" w:customStyle="1" w:styleId="176">
    <w:name w:val="Comments"/>
    <w:basedOn w:val="1"/>
    <w:link w:val="177"/>
    <w:qFormat/>
    <w:uiPriority w:val="0"/>
    <w:pPr>
      <w:spacing w:before="40"/>
    </w:pPr>
    <w:rPr>
      <w:rFonts w:ascii="Arial" w:hAnsi="Arial" w:eastAsia="MS Mincho"/>
      <w:i/>
      <w:sz w:val="18"/>
      <w:lang w:val="en-GB" w:eastAsia="en-GB"/>
    </w:rPr>
  </w:style>
  <w:style w:type="character" w:customStyle="1" w:styleId="177">
    <w:name w:val="Comments Char"/>
    <w:link w:val="176"/>
    <w:qFormat/>
    <w:uiPriority w:val="0"/>
    <w:rPr>
      <w:rFonts w:ascii="Arial" w:hAnsi="Arial" w:eastAsia="MS Mincho"/>
      <w:i/>
      <w:sz w:val="18"/>
      <w:szCs w:val="24"/>
      <w:lang w:val="en-GB" w:eastAsia="en-GB"/>
    </w:rPr>
  </w:style>
  <w:style w:type="paragraph" w:customStyle="1" w:styleId="178">
    <w:name w:val="main text"/>
    <w:basedOn w:val="1"/>
    <w:qFormat/>
    <w:uiPriority w:val="0"/>
    <w:pPr>
      <w:spacing w:before="60" w:after="60" w:line="288" w:lineRule="auto"/>
      <w:ind w:firstLine="200" w:firstLineChars="200"/>
      <w:jc w:val="both"/>
    </w:pPr>
    <w:rPr>
      <w:rFonts w:eastAsia="Malgun Gothic" w:cs="Batang"/>
      <w:sz w:val="24"/>
      <w:lang w:eastAsia="zh-CN"/>
    </w:rPr>
  </w:style>
  <w:style w:type="paragraph" w:customStyle="1" w:styleId="179">
    <w:name w:val="Revision2"/>
    <w:hidden/>
    <w:semiHidden/>
    <w:qFormat/>
    <w:uiPriority w:val="99"/>
    <w:rPr>
      <w:rFonts w:ascii="Times New Roman" w:hAnsi="Times New Roman" w:eastAsia="Times New Roman" w:cs="Times New Roman"/>
      <w:szCs w:val="24"/>
      <w:lang w:val="en-US" w:eastAsia="en-US" w:bidi="ar-SA"/>
    </w:rPr>
  </w:style>
  <w:style w:type="paragraph" w:customStyle="1" w:styleId="180">
    <w:name w:val="EmailDiscussion2"/>
    <w:basedOn w:val="85"/>
    <w:qFormat/>
    <w:uiPriority w:val="0"/>
    <w:pPr>
      <w:tabs>
        <w:tab w:val="clear" w:pos="1622"/>
      </w:tabs>
      <w:spacing w:after="100" w:afterAutospacing="1"/>
    </w:pPr>
    <w:rPr>
      <w:sz w:val="24"/>
      <w:lang w:val="en-US" w:eastAsia="zh-CN"/>
    </w:rPr>
  </w:style>
  <w:style w:type="paragraph" w:customStyle="1" w:styleId="181">
    <w:name w:val="EmailDiscussion"/>
    <w:basedOn w:val="1"/>
    <w:next w:val="180"/>
    <w:qFormat/>
    <w:uiPriority w:val="0"/>
    <w:pPr>
      <w:spacing w:before="40" w:after="100" w:afterAutospacing="1"/>
      <w:ind w:left="1619" w:hanging="360"/>
    </w:pPr>
    <w:rPr>
      <w:rFonts w:ascii="Arial" w:hAnsi="Arial" w:eastAsia="MS Mincho"/>
      <w:b/>
      <w:sz w:val="24"/>
      <w:lang w:eastAsia="zh-CN"/>
    </w:rPr>
  </w:style>
  <w:style w:type="character" w:customStyle="1" w:styleId="182">
    <w:name w:val="15"/>
    <w:basedOn w:val="46"/>
    <w:qFormat/>
    <w:uiPriority w:val="0"/>
    <w:rPr>
      <w:rFonts w:hint="default" w:ascii="Times New Roman" w:hAnsi="Times New Roman" w:cs="Times New Roma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623814-5002-4B3D-9DA5-A1E0A26B1FBA}">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Company>Vivo</Company>
  <Pages>7</Pages>
  <Words>2502</Words>
  <Characters>14264</Characters>
  <Lines>118</Lines>
  <Paragraphs>33</Paragraphs>
  <TotalTime>11</TotalTime>
  <ScaleCrop>false</ScaleCrop>
  <LinksUpToDate>false</LinksUpToDate>
  <CharactersWithSpaces>16733</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2022-11-04T06:06:00Z</dcterms:created>
  <dc:creator>VIVO</dc:creator>
  <cp:lastModifiedBy>vivo(Qian)</cp:lastModifiedBy>
  <cp:lastPrinted>2022-08-02T01:28:00Z</cp:lastPrinted>
  <dcterms:modified xsi:type="dcterms:W3CDTF">2022-11-04T08:07:19Z</dcterms:modified>
  <dc:title>3GPP contribution</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89DC109C74B64465BCAB14503D54CAD8</vt:lpwstr>
  </property>
</Properties>
</file>